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030" w:rsidRPr="00B93030" w:rsidRDefault="00B93030" w:rsidP="00DC68DE">
      <w:pPr>
        <w:autoSpaceDE w:val="0"/>
        <w:autoSpaceDN w:val="0"/>
        <w:adjustRightInd w:val="0"/>
        <w:spacing w:after="0" w:line="240" w:lineRule="auto"/>
        <w:jc w:val="center"/>
        <w:rPr>
          <w:rFonts w:ascii="Times New Roman" w:hAnsi="Times New Roman" w:cs="Times New Roman"/>
          <w:b/>
          <w:bCs/>
          <w:sz w:val="28"/>
          <w:szCs w:val="28"/>
        </w:rPr>
      </w:pPr>
      <w:r w:rsidRPr="00B93030">
        <w:rPr>
          <w:rFonts w:ascii="Times New Roman" w:hAnsi="Times New Roman" w:cs="Times New Roman"/>
          <w:sz w:val="24"/>
          <w:szCs w:val="24"/>
          <w:lang w:val="en-CA"/>
        </w:rPr>
        <w:fldChar w:fldCharType="begin"/>
      </w:r>
      <w:r w:rsidRPr="00B93030">
        <w:rPr>
          <w:rFonts w:ascii="Times New Roman" w:hAnsi="Times New Roman" w:cs="Times New Roman"/>
          <w:sz w:val="24"/>
          <w:szCs w:val="24"/>
          <w:lang w:val="en-CA"/>
        </w:rPr>
        <w:instrText xml:space="preserve"> SEQ CHAPTER \h \r 1</w:instrText>
      </w:r>
      <w:r w:rsidRPr="00B93030">
        <w:rPr>
          <w:rFonts w:ascii="Times New Roman" w:hAnsi="Times New Roman" w:cs="Times New Roman"/>
          <w:sz w:val="24"/>
          <w:szCs w:val="24"/>
          <w:lang w:val="en-CA"/>
        </w:rPr>
        <w:fldChar w:fldCharType="end"/>
      </w:r>
      <w:r w:rsidRPr="00B93030">
        <w:rPr>
          <w:rFonts w:ascii="Times New Roman" w:hAnsi="Times New Roman" w:cs="Times New Roman"/>
          <w:b/>
          <w:bCs/>
          <w:sz w:val="28"/>
          <w:szCs w:val="28"/>
        </w:rPr>
        <w:t>A FEW SUPREME COURT BANKRUPTCY DECISIONS THAT MAY BE HELPFUL TO KNOW BY NAME</w:t>
      </w:r>
    </w:p>
    <w:p w:rsidR="00B93030" w:rsidRPr="00B93030" w:rsidRDefault="00B93030" w:rsidP="00B93030">
      <w:pPr>
        <w:autoSpaceDE w:val="0"/>
        <w:autoSpaceDN w:val="0"/>
        <w:adjustRightInd w:val="0"/>
        <w:spacing w:after="0" w:line="240" w:lineRule="auto"/>
        <w:rPr>
          <w:rFonts w:ascii="Times New Roman" w:hAnsi="Times New Roman" w:cs="Times New Roman"/>
          <w:sz w:val="24"/>
          <w:szCs w:val="24"/>
        </w:rPr>
      </w:pPr>
    </w:p>
    <w:p w:rsidR="00B93030" w:rsidRPr="00B93030" w:rsidRDefault="00B93030" w:rsidP="00B93030">
      <w:pPr>
        <w:autoSpaceDE w:val="0"/>
        <w:autoSpaceDN w:val="0"/>
        <w:adjustRightInd w:val="0"/>
        <w:spacing w:after="0" w:line="240" w:lineRule="auto"/>
        <w:rPr>
          <w:rFonts w:ascii="Times New Roman" w:hAnsi="Times New Roman" w:cs="Times New Roman"/>
          <w:sz w:val="24"/>
          <w:szCs w:val="24"/>
        </w:rPr>
      </w:pPr>
      <w:r w:rsidRPr="00B93030">
        <w:rPr>
          <w:rFonts w:ascii="Times New Roman" w:hAnsi="Times New Roman" w:cs="Times New Roman"/>
        </w:rPr>
        <w:t>By John P. Gustafson</w:t>
      </w:r>
    </w:p>
    <w:p w:rsidR="00B93030" w:rsidRPr="00B93030" w:rsidRDefault="00B93030" w:rsidP="00B93030">
      <w:pPr>
        <w:autoSpaceDE w:val="0"/>
        <w:autoSpaceDN w:val="0"/>
        <w:adjustRightInd w:val="0"/>
        <w:spacing w:after="0" w:line="240" w:lineRule="auto"/>
        <w:rPr>
          <w:rFonts w:ascii="Times New Roman" w:hAnsi="Times New Roman" w:cs="Times New Roman"/>
          <w:sz w:val="24"/>
          <w:szCs w:val="24"/>
        </w:rPr>
      </w:pPr>
    </w:p>
    <w:p w:rsidR="00B93030" w:rsidRPr="00B93030" w:rsidRDefault="00B93030" w:rsidP="00B93030">
      <w:pPr>
        <w:autoSpaceDE w:val="0"/>
        <w:autoSpaceDN w:val="0"/>
        <w:adjustRightInd w:val="0"/>
        <w:spacing w:after="0" w:line="240" w:lineRule="auto"/>
        <w:rPr>
          <w:rFonts w:ascii="Times New Roman" w:hAnsi="Times New Roman" w:cs="Times New Roman"/>
          <w:spacing w:val="-3"/>
        </w:rPr>
      </w:pPr>
      <w:r w:rsidRPr="00B93030">
        <w:rPr>
          <w:rFonts w:ascii="Times New Roman" w:hAnsi="Times New Roman" w:cs="Times New Roman"/>
          <w:b/>
          <w:bCs/>
          <w:spacing w:val="-3"/>
          <w:u w:val="single"/>
        </w:rPr>
        <w:t xml:space="preserve">Ransom v. FIA Card </w:t>
      </w:r>
      <w:proofErr w:type="spellStart"/>
      <w:proofErr w:type="gramStart"/>
      <w:r w:rsidRPr="00B93030">
        <w:rPr>
          <w:rFonts w:ascii="Times New Roman" w:hAnsi="Times New Roman" w:cs="Times New Roman"/>
          <w:b/>
          <w:bCs/>
          <w:spacing w:val="-3"/>
          <w:u w:val="single"/>
        </w:rPr>
        <w:t>Servs</w:t>
      </w:r>
      <w:proofErr w:type="spellEnd"/>
      <w:r w:rsidRPr="00B93030">
        <w:rPr>
          <w:rFonts w:ascii="Times New Roman" w:hAnsi="Times New Roman" w:cs="Times New Roman"/>
          <w:b/>
          <w:bCs/>
          <w:spacing w:val="-3"/>
          <w:u w:val="single"/>
        </w:rPr>
        <w:t>.,</w:t>
      </w:r>
      <w:proofErr w:type="gramEnd"/>
      <w:r w:rsidRPr="00B93030">
        <w:rPr>
          <w:rFonts w:ascii="Times New Roman" w:hAnsi="Times New Roman" w:cs="Times New Roman"/>
          <w:b/>
          <w:bCs/>
          <w:spacing w:val="-3"/>
          <w:u w:val="single"/>
        </w:rPr>
        <w:t xml:space="preserve"> N.A.</w:t>
      </w:r>
      <w:r w:rsidRPr="00B93030">
        <w:rPr>
          <w:rFonts w:ascii="Times New Roman" w:hAnsi="Times New Roman" w:cs="Times New Roman"/>
          <w:spacing w:val="-3"/>
        </w:rPr>
        <w:t xml:space="preserve">, 562 U.S. 61, 131 </w:t>
      </w:r>
      <w:proofErr w:type="spellStart"/>
      <w:r w:rsidRPr="00B93030">
        <w:rPr>
          <w:rFonts w:ascii="Times New Roman" w:hAnsi="Times New Roman" w:cs="Times New Roman"/>
          <w:spacing w:val="-3"/>
        </w:rPr>
        <w:t>S.Ct</w:t>
      </w:r>
      <w:proofErr w:type="spellEnd"/>
      <w:r w:rsidRPr="00B93030">
        <w:rPr>
          <w:rFonts w:ascii="Times New Roman" w:hAnsi="Times New Roman" w:cs="Times New Roman"/>
          <w:spacing w:val="-3"/>
        </w:rPr>
        <w:t xml:space="preserve">. 716, 178 L.Ed.2d 603 (2011).  "For a debtor whose income is above the median for his State, the means test identifies which expenses qualify as 'amounts reasonably necessary to be expended.'  The test supplants </w:t>
      </w:r>
      <w:r w:rsidR="00DC68DE">
        <w:rPr>
          <w:rFonts w:ascii="Times New Roman" w:hAnsi="Times New Roman" w:cs="Times New Roman"/>
          <w:spacing w:val="-3"/>
        </w:rPr>
        <w:t>t</w:t>
      </w:r>
      <w:r w:rsidRPr="00B93030">
        <w:rPr>
          <w:rFonts w:ascii="Times New Roman" w:hAnsi="Times New Roman" w:cs="Times New Roman"/>
          <w:spacing w:val="-3"/>
        </w:rPr>
        <w:t xml:space="preserve">he pre-BAPCPA practice of calculating debtors' reasonable expenses on a case-by-case basis, which led to varying and often inconsistent determinations."   The </w:t>
      </w:r>
      <w:r w:rsidRPr="00B93030">
        <w:rPr>
          <w:rFonts w:ascii="Times New Roman" w:hAnsi="Times New Roman" w:cs="Times New Roman"/>
          <w:i/>
          <w:iCs/>
          <w:spacing w:val="-3"/>
        </w:rPr>
        <w:t>Ransom</w:t>
      </w:r>
      <w:r w:rsidRPr="00B93030">
        <w:rPr>
          <w:rFonts w:ascii="Times New Roman" w:hAnsi="Times New Roman" w:cs="Times New Roman"/>
          <w:spacing w:val="-3"/>
        </w:rPr>
        <w:t xml:space="preserve"> case holds that there is no Means Test deduction for vehicles that are owned free and clear of liens.</w:t>
      </w:r>
    </w:p>
    <w:p w:rsidR="00B93030" w:rsidRPr="00B93030" w:rsidRDefault="00B93030" w:rsidP="00B93030">
      <w:pPr>
        <w:autoSpaceDE w:val="0"/>
        <w:autoSpaceDN w:val="0"/>
        <w:adjustRightInd w:val="0"/>
        <w:spacing w:after="0" w:line="240" w:lineRule="auto"/>
        <w:rPr>
          <w:rFonts w:ascii="Times New Roman" w:hAnsi="Times New Roman" w:cs="Times New Roman"/>
          <w:spacing w:val="-3"/>
        </w:rPr>
      </w:pPr>
    </w:p>
    <w:p w:rsidR="00B93030" w:rsidRPr="00B93030" w:rsidRDefault="00B93030" w:rsidP="00B93030">
      <w:pPr>
        <w:autoSpaceDE w:val="0"/>
        <w:autoSpaceDN w:val="0"/>
        <w:adjustRightInd w:val="0"/>
        <w:spacing w:after="0" w:line="240" w:lineRule="auto"/>
        <w:rPr>
          <w:rFonts w:ascii="Times New Roman" w:hAnsi="Times New Roman" w:cs="Times New Roman"/>
          <w:spacing w:val="-3"/>
        </w:rPr>
      </w:pPr>
      <w:r w:rsidRPr="00B93030">
        <w:rPr>
          <w:rFonts w:ascii="Times New Roman" w:hAnsi="Times New Roman" w:cs="Times New Roman"/>
          <w:spacing w:val="-3"/>
        </w:rPr>
        <w:t>The case also contains the statement:  "’Congress enacted the Bankruptcy Abuse Prevention and Consumer Protection Act of 2005 (BAPCPA or Act) to correct perceived abuses of the bankruptcy system.’</w:t>
      </w:r>
      <w:r w:rsidRPr="00B93030">
        <w:rPr>
          <w:rFonts w:ascii="Times New Roman" w:hAnsi="Times New Roman" w:cs="Times New Roman"/>
          <w:i/>
          <w:iCs/>
          <w:spacing w:val="-3"/>
        </w:rPr>
        <w:t xml:space="preserve"> </w:t>
      </w:r>
      <w:proofErr w:type="spellStart"/>
      <w:r w:rsidRPr="00B93030">
        <w:rPr>
          <w:rFonts w:ascii="Times New Roman" w:hAnsi="Times New Roman" w:cs="Times New Roman"/>
          <w:i/>
          <w:iCs/>
          <w:spacing w:val="-3"/>
        </w:rPr>
        <w:t>Milavetz</w:t>
      </w:r>
      <w:proofErr w:type="spellEnd"/>
      <w:r w:rsidRPr="00B93030">
        <w:rPr>
          <w:rFonts w:ascii="Times New Roman" w:hAnsi="Times New Roman" w:cs="Times New Roman"/>
          <w:i/>
          <w:iCs/>
          <w:spacing w:val="-3"/>
        </w:rPr>
        <w:t xml:space="preserve">, Gallop &amp; </w:t>
      </w:r>
      <w:proofErr w:type="spellStart"/>
      <w:r w:rsidRPr="00B93030">
        <w:rPr>
          <w:rFonts w:ascii="Times New Roman" w:hAnsi="Times New Roman" w:cs="Times New Roman"/>
          <w:i/>
          <w:iCs/>
          <w:spacing w:val="-3"/>
        </w:rPr>
        <w:t>Milavetz</w:t>
      </w:r>
      <w:proofErr w:type="spellEnd"/>
      <w:r w:rsidRPr="00B93030">
        <w:rPr>
          <w:rFonts w:ascii="Times New Roman" w:hAnsi="Times New Roman" w:cs="Times New Roman"/>
          <w:i/>
          <w:iCs/>
          <w:spacing w:val="-3"/>
        </w:rPr>
        <w:t>, P. A. v. United States</w:t>
      </w:r>
      <w:r w:rsidRPr="00B93030">
        <w:rPr>
          <w:rFonts w:ascii="Times New Roman" w:hAnsi="Times New Roman" w:cs="Times New Roman"/>
          <w:spacing w:val="-3"/>
        </w:rPr>
        <w:t xml:space="preserve">, 559 U.S. 229, 231-232, 130 </w:t>
      </w:r>
      <w:proofErr w:type="spellStart"/>
      <w:r w:rsidRPr="00B93030">
        <w:rPr>
          <w:rFonts w:ascii="Times New Roman" w:hAnsi="Times New Roman" w:cs="Times New Roman"/>
          <w:spacing w:val="-3"/>
        </w:rPr>
        <w:t>S.Ct</w:t>
      </w:r>
      <w:proofErr w:type="spellEnd"/>
      <w:r w:rsidRPr="00B93030">
        <w:rPr>
          <w:rFonts w:ascii="Times New Roman" w:hAnsi="Times New Roman" w:cs="Times New Roman"/>
          <w:spacing w:val="-3"/>
        </w:rPr>
        <w:t xml:space="preserve">. 1324, 1329, 176 L.Ed.2d 79, 84 (2010)).  In particular, Congress adopted the means test -- "[t]he heart of [BAPCPA's] consumer bankruptcy reforms," H. R. Rep. No. 109-31, pt. 1, p. 2 (2005) (hereinafter H. R. Rep.), and the home of the statutory language at issue here -- to help ensure that debtors who can pay creditors do pay them. </w:t>
      </w:r>
      <w:r w:rsidRPr="00B93030">
        <w:rPr>
          <w:rFonts w:ascii="Times New Roman" w:hAnsi="Times New Roman" w:cs="Times New Roman"/>
          <w:i/>
          <w:iCs/>
          <w:spacing w:val="-3"/>
        </w:rPr>
        <w:t>See</w:t>
      </w:r>
      <w:r w:rsidRPr="00B93030">
        <w:rPr>
          <w:rFonts w:ascii="Times New Roman" w:hAnsi="Times New Roman" w:cs="Times New Roman"/>
          <w:spacing w:val="-3"/>
        </w:rPr>
        <w:t xml:space="preserve">, </w:t>
      </w:r>
      <w:r w:rsidRPr="00B93030">
        <w:rPr>
          <w:rFonts w:ascii="Times New Roman" w:hAnsi="Times New Roman" w:cs="Times New Roman"/>
          <w:i/>
          <w:iCs/>
          <w:spacing w:val="-3"/>
        </w:rPr>
        <w:t>e.g.</w:t>
      </w:r>
      <w:r w:rsidRPr="00B93030">
        <w:rPr>
          <w:rFonts w:ascii="Times New Roman" w:hAnsi="Times New Roman" w:cs="Times New Roman"/>
          <w:spacing w:val="-3"/>
        </w:rPr>
        <w:t xml:space="preserve">, </w:t>
      </w:r>
      <w:r w:rsidRPr="00B93030">
        <w:rPr>
          <w:rFonts w:ascii="Times New Roman" w:hAnsi="Times New Roman" w:cs="Times New Roman"/>
          <w:i/>
          <w:iCs/>
          <w:spacing w:val="-3"/>
        </w:rPr>
        <w:t>ibid</w:t>
      </w:r>
      <w:r w:rsidRPr="00B93030">
        <w:rPr>
          <w:rFonts w:ascii="Times New Roman" w:hAnsi="Times New Roman" w:cs="Times New Roman"/>
          <w:spacing w:val="-3"/>
        </w:rPr>
        <w:t>. (under BAPCPA, "debtors [will] repay creditors the maximum they can afford").”</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proofErr w:type="spellStart"/>
      <w:r w:rsidRPr="00B93030">
        <w:rPr>
          <w:rFonts w:ascii="Times New Roman" w:hAnsi="Times New Roman" w:cs="Times New Roman"/>
          <w:b/>
          <w:bCs/>
          <w:u w:val="single"/>
        </w:rPr>
        <w:t>Milavetz</w:t>
      </w:r>
      <w:proofErr w:type="spellEnd"/>
      <w:r w:rsidRPr="00B93030">
        <w:rPr>
          <w:rFonts w:ascii="Times New Roman" w:hAnsi="Times New Roman" w:cs="Times New Roman"/>
          <w:b/>
          <w:bCs/>
          <w:u w:val="single"/>
        </w:rPr>
        <w:t xml:space="preserve">, Gallop &amp; </w:t>
      </w:r>
      <w:proofErr w:type="spellStart"/>
      <w:r w:rsidRPr="00B93030">
        <w:rPr>
          <w:rFonts w:ascii="Times New Roman" w:hAnsi="Times New Roman" w:cs="Times New Roman"/>
          <w:b/>
          <w:bCs/>
          <w:u w:val="single"/>
        </w:rPr>
        <w:t>Milavetz</w:t>
      </w:r>
      <w:proofErr w:type="spellEnd"/>
      <w:r w:rsidRPr="00B93030">
        <w:rPr>
          <w:rFonts w:ascii="Times New Roman" w:hAnsi="Times New Roman" w:cs="Times New Roman"/>
          <w:b/>
          <w:bCs/>
          <w:u w:val="single"/>
        </w:rPr>
        <w:t>, P.A. v. U.S.</w:t>
      </w:r>
      <w:r w:rsidRPr="00B93030">
        <w:rPr>
          <w:rFonts w:ascii="Times New Roman" w:hAnsi="Times New Roman" w:cs="Times New Roman"/>
        </w:rPr>
        <w:t xml:space="preserve">, 559 U.S. 229, 130 </w:t>
      </w:r>
      <w:proofErr w:type="spellStart"/>
      <w:r w:rsidRPr="00B93030">
        <w:rPr>
          <w:rFonts w:ascii="Times New Roman" w:hAnsi="Times New Roman" w:cs="Times New Roman"/>
        </w:rPr>
        <w:t>S.Ct</w:t>
      </w:r>
      <w:proofErr w:type="spellEnd"/>
      <w:r w:rsidRPr="00B93030">
        <w:rPr>
          <w:rFonts w:ascii="Times New Roman" w:hAnsi="Times New Roman" w:cs="Times New Roman"/>
        </w:rPr>
        <w:t>. 1324, 176 L.Ed.2d 79 (2010).  Attorneys who provide bankruptcy assistance are debt relief agencies within the meaning of BAPCPA.  However, the court read the restrictions on attorneys giving advice to clients about incurring debt narrowly, thereby avoiding the Constitutional “free speech” issues.  Disclosure requirements in advertising – i.e., the “debt relief agency” language – were reasonably related to the state’s interest in preventing deception of consumers, and the disclosure requirement did not prevent debt relief agencies from conveying any additional information.</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b/>
          <w:bCs/>
          <w:spacing w:val="-3"/>
        </w:rPr>
      </w:pPr>
      <w:r w:rsidRPr="00B93030">
        <w:rPr>
          <w:rFonts w:ascii="Times New Roman" w:hAnsi="Times New Roman" w:cs="Times New Roman"/>
          <w:b/>
          <w:bCs/>
          <w:u w:val="single"/>
        </w:rPr>
        <w:t>United Student Aid Funds, Inc. v. Espinosa</w:t>
      </w:r>
      <w:r w:rsidRPr="00B93030">
        <w:rPr>
          <w:rFonts w:ascii="Times New Roman" w:hAnsi="Times New Roman" w:cs="Times New Roman"/>
        </w:rPr>
        <w:t xml:space="preserve">, 559 U.S.260, 130 </w:t>
      </w:r>
      <w:proofErr w:type="spellStart"/>
      <w:r w:rsidRPr="00B93030">
        <w:rPr>
          <w:rFonts w:ascii="Times New Roman" w:hAnsi="Times New Roman" w:cs="Times New Roman"/>
        </w:rPr>
        <w:t>S.Ct</w:t>
      </w:r>
      <w:proofErr w:type="spellEnd"/>
      <w:r w:rsidRPr="00B93030">
        <w:rPr>
          <w:rFonts w:ascii="Times New Roman" w:hAnsi="Times New Roman" w:cs="Times New Roman"/>
        </w:rPr>
        <w:t>. 1367, 176 L.Ed.2d 158 (2010).  Order confirming plan discharging student loan debt without “undue hardship” finding, or adversary proceeding, was not void.  Supports the binding effect of confirmation of Chapter 13 Plans, and the need for creditors to not sleep on their rights in seeking relief under Rule 60(b).  There is also language in the majority opinion about the obligation of bankruptcy judges to review Chapter 13 Plan language and not confirm Plans that do not comply with the Code.</w:t>
      </w:r>
    </w:p>
    <w:p w:rsidR="00B93030" w:rsidRPr="00B93030" w:rsidRDefault="00B93030" w:rsidP="00B93030">
      <w:pPr>
        <w:autoSpaceDE w:val="0"/>
        <w:autoSpaceDN w:val="0"/>
        <w:adjustRightInd w:val="0"/>
        <w:spacing w:after="0" w:line="240" w:lineRule="auto"/>
        <w:rPr>
          <w:rFonts w:ascii="Times New Roman" w:hAnsi="Times New Roman" w:cs="Times New Roman"/>
          <w:b/>
          <w:bCs/>
          <w:spacing w:val="-3"/>
        </w:rPr>
      </w:pPr>
    </w:p>
    <w:p w:rsidR="00B93030" w:rsidRPr="00B93030" w:rsidRDefault="00B93030" w:rsidP="00B93030">
      <w:pPr>
        <w:autoSpaceDE w:val="0"/>
        <w:autoSpaceDN w:val="0"/>
        <w:adjustRightInd w:val="0"/>
        <w:spacing w:after="0" w:line="240" w:lineRule="auto"/>
        <w:rPr>
          <w:rFonts w:ascii="Times New Roman" w:hAnsi="Times New Roman" w:cs="Times New Roman"/>
          <w:spacing w:val="-3"/>
        </w:rPr>
      </w:pPr>
      <w:r w:rsidRPr="00B93030">
        <w:rPr>
          <w:rFonts w:ascii="Times New Roman" w:hAnsi="Times New Roman" w:cs="Times New Roman"/>
          <w:b/>
          <w:bCs/>
          <w:spacing w:val="-3"/>
          <w:u w:val="single"/>
        </w:rPr>
        <w:t xml:space="preserve">Taylor v. Freeland &amp; </w:t>
      </w:r>
      <w:proofErr w:type="spellStart"/>
      <w:r w:rsidRPr="00B93030">
        <w:rPr>
          <w:rFonts w:ascii="Times New Roman" w:hAnsi="Times New Roman" w:cs="Times New Roman"/>
          <w:b/>
          <w:bCs/>
          <w:spacing w:val="-3"/>
          <w:u w:val="single"/>
        </w:rPr>
        <w:t>Kronz</w:t>
      </w:r>
      <w:proofErr w:type="spellEnd"/>
      <w:r w:rsidRPr="00B93030">
        <w:rPr>
          <w:rFonts w:ascii="Times New Roman" w:hAnsi="Times New Roman" w:cs="Times New Roman"/>
          <w:spacing w:val="-3"/>
        </w:rPr>
        <w:t xml:space="preserve">, 503 U. S. 638, 112 </w:t>
      </w:r>
      <w:proofErr w:type="spellStart"/>
      <w:r w:rsidRPr="00B93030">
        <w:rPr>
          <w:rFonts w:ascii="Times New Roman" w:hAnsi="Times New Roman" w:cs="Times New Roman"/>
          <w:spacing w:val="-3"/>
        </w:rPr>
        <w:t>S.Ct</w:t>
      </w:r>
      <w:proofErr w:type="spellEnd"/>
      <w:r w:rsidRPr="00B93030">
        <w:rPr>
          <w:rFonts w:ascii="Times New Roman" w:hAnsi="Times New Roman" w:cs="Times New Roman"/>
          <w:spacing w:val="-3"/>
        </w:rPr>
        <w:t xml:space="preserve">. 1644, 118 L.Ed.2d 280 (1992).  A Chapter 7 trustee could not contest the validity of claimed exemption after the 30 day period for objections had expired, and no extension had been obtained, even though debtor had no colorable basis for claiming exemption.  The Supreme Court clarified the </w:t>
      </w:r>
      <w:r w:rsidRPr="00B93030">
        <w:rPr>
          <w:rFonts w:ascii="Times New Roman" w:hAnsi="Times New Roman" w:cs="Times New Roman"/>
          <w:i/>
          <w:iCs/>
          <w:spacing w:val="-3"/>
        </w:rPr>
        <w:t>Taylor</w:t>
      </w:r>
      <w:r w:rsidRPr="00B93030">
        <w:rPr>
          <w:rFonts w:ascii="Times New Roman" w:hAnsi="Times New Roman" w:cs="Times New Roman"/>
          <w:spacing w:val="-3"/>
        </w:rPr>
        <w:t xml:space="preserve"> rule in </w:t>
      </w:r>
      <w:r w:rsidRPr="00B93030">
        <w:rPr>
          <w:rFonts w:ascii="Times New Roman" w:hAnsi="Times New Roman" w:cs="Times New Roman"/>
          <w:b/>
          <w:bCs/>
          <w:spacing w:val="-3"/>
          <w:u w:val="single"/>
        </w:rPr>
        <w:t>Schwab v. Reilly</w:t>
      </w:r>
      <w:r w:rsidRPr="00B93030">
        <w:rPr>
          <w:rFonts w:ascii="Times New Roman" w:hAnsi="Times New Roman" w:cs="Times New Roman"/>
          <w:spacing w:val="-3"/>
        </w:rPr>
        <w:t xml:space="preserve">, 560 U.S. 770, 130 </w:t>
      </w:r>
      <w:proofErr w:type="spellStart"/>
      <w:r w:rsidRPr="00B93030">
        <w:rPr>
          <w:rFonts w:ascii="Times New Roman" w:hAnsi="Times New Roman" w:cs="Times New Roman"/>
          <w:spacing w:val="-3"/>
        </w:rPr>
        <w:t>S.Ct</w:t>
      </w:r>
      <w:proofErr w:type="spellEnd"/>
      <w:r w:rsidRPr="00B93030">
        <w:rPr>
          <w:rFonts w:ascii="Times New Roman" w:hAnsi="Times New Roman" w:cs="Times New Roman"/>
          <w:spacing w:val="-3"/>
        </w:rPr>
        <w:t>. 2652, 177 L.Ed.2d 234 (2010).  Where a Chapter 7 debtor claimed exemptions in business equipment that equaled the maximum allowed under 11 U.S.C.S. §522(d) and also equaled the debtor's estimated market value for the equipment, the trustee was not required to object under §522(l) in order to preserve the estate's right to retain any value beyond the claimed amount.</w:t>
      </w:r>
    </w:p>
    <w:p w:rsidR="00B93030" w:rsidRPr="00B93030" w:rsidRDefault="00B93030" w:rsidP="00B93030">
      <w:pPr>
        <w:autoSpaceDE w:val="0"/>
        <w:autoSpaceDN w:val="0"/>
        <w:adjustRightInd w:val="0"/>
        <w:spacing w:after="0" w:line="240" w:lineRule="auto"/>
        <w:rPr>
          <w:rFonts w:ascii="Times New Roman" w:hAnsi="Times New Roman" w:cs="Times New Roman"/>
          <w:spacing w:val="-3"/>
        </w:rPr>
      </w:pPr>
      <w:r w:rsidRPr="00B93030">
        <w:rPr>
          <w:rFonts w:ascii="Times New Roman" w:hAnsi="Times New Roman" w:cs="Times New Roman"/>
          <w:spacing w:val="-3"/>
        </w:rPr>
        <w:tab/>
      </w:r>
      <w:r w:rsidRPr="00B93030">
        <w:rPr>
          <w:rFonts w:ascii="Times New Roman" w:hAnsi="Times New Roman" w:cs="Times New Roman"/>
          <w:spacing w:val="-3"/>
        </w:rPr>
        <w:tab/>
      </w:r>
    </w:p>
    <w:p w:rsidR="00B93030" w:rsidRPr="00B93030" w:rsidRDefault="00B93030" w:rsidP="00B93030">
      <w:pPr>
        <w:autoSpaceDE w:val="0"/>
        <w:autoSpaceDN w:val="0"/>
        <w:adjustRightInd w:val="0"/>
        <w:spacing w:after="0" w:line="240" w:lineRule="auto"/>
        <w:rPr>
          <w:rFonts w:ascii="Times New Roman" w:hAnsi="Times New Roman" w:cs="Times New Roman"/>
          <w:b/>
          <w:bCs/>
          <w:spacing w:val="-3"/>
        </w:rPr>
      </w:pPr>
      <w:r w:rsidRPr="00B93030">
        <w:rPr>
          <w:rFonts w:ascii="Times New Roman" w:hAnsi="Times New Roman" w:cs="Times New Roman"/>
          <w:b/>
          <w:bCs/>
          <w:spacing w:val="-3"/>
          <w:u w:val="single"/>
        </w:rPr>
        <w:t>Law v. Siegel</w:t>
      </w:r>
      <w:r w:rsidRPr="00B93030">
        <w:rPr>
          <w:rFonts w:ascii="Times New Roman" w:hAnsi="Times New Roman" w:cs="Times New Roman"/>
          <w:spacing w:val="-3"/>
        </w:rPr>
        <w:t xml:space="preserve">, 571 U.S. 415, 134 </w:t>
      </w:r>
      <w:proofErr w:type="spellStart"/>
      <w:r w:rsidRPr="00B93030">
        <w:rPr>
          <w:rFonts w:ascii="Times New Roman" w:hAnsi="Times New Roman" w:cs="Times New Roman"/>
          <w:spacing w:val="-3"/>
        </w:rPr>
        <w:t>S.Ct</w:t>
      </w:r>
      <w:proofErr w:type="spellEnd"/>
      <w:r w:rsidRPr="00B93030">
        <w:rPr>
          <w:rFonts w:ascii="Times New Roman" w:hAnsi="Times New Roman" w:cs="Times New Roman"/>
          <w:spacing w:val="-3"/>
        </w:rPr>
        <w:t>. 1188, 1194, 188 L.Ed.2d 146 (2014).  The holding was that bankruptcy courts have no power to equitably surcharge administrative expenses against a debtor's claimed exemptions on the grounds that the debtor had engaged in fraudulent conduct.  The case also supports two important propositions: 1) equity/Section 105(a) cannot be used to take an action prohibited by another provision of the Bankruptcy Code; and 2) disallowance of exemptions is limited to federal statutory grounds, or state law limitations.</w:t>
      </w:r>
      <w:r w:rsidRPr="00B93030">
        <w:rPr>
          <w:rFonts w:ascii="Times New Roman" w:hAnsi="Times New Roman" w:cs="Times New Roman"/>
          <w:spacing w:val="-3"/>
        </w:rPr>
        <w:tab/>
      </w:r>
    </w:p>
    <w:p w:rsidR="00B93030" w:rsidRPr="00B93030" w:rsidRDefault="00B93030" w:rsidP="00B93030">
      <w:pPr>
        <w:autoSpaceDE w:val="0"/>
        <w:autoSpaceDN w:val="0"/>
        <w:adjustRightInd w:val="0"/>
        <w:spacing w:after="0" w:line="240" w:lineRule="auto"/>
        <w:rPr>
          <w:rFonts w:ascii="Times New Roman" w:hAnsi="Times New Roman" w:cs="Times New Roman"/>
          <w:b/>
          <w:bCs/>
          <w:spacing w:val="-3"/>
        </w:rPr>
      </w:pPr>
    </w:p>
    <w:p w:rsidR="00B93030" w:rsidRPr="00B93030" w:rsidRDefault="00B93030" w:rsidP="00B93030">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u w:val="single"/>
        </w:rPr>
        <w:t>Hamilton v. Lanning</w:t>
      </w:r>
      <w:r w:rsidRPr="00B93030">
        <w:rPr>
          <w:rFonts w:ascii="Times New Roman" w:hAnsi="Times New Roman" w:cs="Times New Roman"/>
        </w:rPr>
        <w:t xml:space="preserve">, 560 U.S. 505, 130 </w:t>
      </w:r>
      <w:proofErr w:type="spellStart"/>
      <w:r w:rsidRPr="00B93030">
        <w:rPr>
          <w:rFonts w:ascii="Times New Roman" w:hAnsi="Times New Roman" w:cs="Times New Roman"/>
        </w:rPr>
        <w:t>S.Ct</w:t>
      </w:r>
      <w:proofErr w:type="spellEnd"/>
      <w:r w:rsidRPr="00B93030">
        <w:rPr>
          <w:rFonts w:ascii="Times New Roman" w:hAnsi="Times New Roman" w:cs="Times New Roman"/>
        </w:rPr>
        <w:t>. 2464, 177 L.Ed.2d 23 (2010).  "Forward looking" approach could be used in calculating "projected disposable income" under §1325(b</w:t>
      </w:r>
      <w:proofErr w:type="gramStart"/>
      <w:r w:rsidRPr="00B93030">
        <w:rPr>
          <w:rFonts w:ascii="Times New Roman" w:hAnsi="Times New Roman" w:cs="Times New Roman"/>
        </w:rPr>
        <w:t>)(</w:t>
      </w:r>
      <w:proofErr w:type="gramEnd"/>
      <w:r w:rsidRPr="00B93030">
        <w:rPr>
          <w:rFonts w:ascii="Times New Roman" w:hAnsi="Times New Roman" w:cs="Times New Roman"/>
        </w:rPr>
        <w:t>1)(B) as courts had discretion to account for known or virtually certain changes in a debtor's income.  The use of Chapter 13 debtor's current income, not an inflated figure due to a prior one-time employer buyout, was affirmed.</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u w:val="single"/>
        </w:rPr>
        <w:t>Butner v. United States</w:t>
      </w:r>
      <w:r w:rsidRPr="00B93030">
        <w:rPr>
          <w:rFonts w:ascii="Times New Roman" w:hAnsi="Times New Roman" w:cs="Times New Roman"/>
        </w:rPr>
        <w:t xml:space="preserve">, 440 U.S. 48, 55, 99 </w:t>
      </w:r>
      <w:proofErr w:type="spellStart"/>
      <w:r w:rsidRPr="00B93030">
        <w:rPr>
          <w:rFonts w:ascii="Times New Roman" w:hAnsi="Times New Roman" w:cs="Times New Roman"/>
        </w:rPr>
        <w:t>S.Ct</w:t>
      </w:r>
      <w:proofErr w:type="spellEnd"/>
      <w:r w:rsidRPr="00B93030">
        <w:rPr>
          <w:rFonts w:ascii="Times New Roman" w:hAnsi="Times New Roman" w:cs="Times New Roman"/>
        </w:rPr>
        <w:t>. 914, 918 59 L.Ed.2d 136, 141-142 (1979).  “Property interests are created and defined by state law.  Unless some federal interest requires a different result, there is no reason why such interests should be analyzed differently simply because an interested party is involved in a bankruptcy proceeding.”</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proofErr w:type="spellStart"/>
      <w:r w:rsidRPr="00B93030">
        <w:rPr>
          <w:rFonts w:ascii="Times New Roman" w:hAnsi="Times New Roman" w:cs="Times New Roman"/>
          <w:b/>
          <w:bCs/>
          <w:u w:val="single"/>
        </w:rPr>
        <w:t>Mullane</w:t>
      </w:r>
      <w:proofErr w:type="spellEnd"/>
      <w:r w:rsidRPr="00B93030">
        <w:rPr>
          <w:rFonts w:ascii="Times New Roman" w:hAnsi="Times New Roman" w:cs="Times New Roman"/>
          <w:b/>
          <w:bCs/>
          <w:u w:val="single"/>
        </w:rPr>
        <w:t xml:space="preserve"> v. Central Hanover Bank &amp; Trust Co.</w:t>
      </w:r>
      <w:r w:rsidRPr="00B93030">
        <w:rPr>
          <w:rFonts w:ascii="Times New Roman" w:hAnsi="Times New Roman" w:cs="Times New Roman"/>
        </w:rPr>
        <w:t xml:space="preserve">, 339 U.S. 306, 314, 70 </w:t>
      </w:r>
      <w:proofErr w:type="spellStart"/>
      <w:r w:rsidRPr="00B93030">
        <w:rPr>
          <w:rFonts w:ascii="Times New Roman" w:hAnsi="Times New Roman" w:cs="Times New Roman"/>
        </w:rPr>
        <w:t>S.Ct</w:t>
      </w:r>
      <w:proofErr w:type="spellEnd"/>
      <w:r w:rsidRPr="00B93030">
        <w:rPr>
          <w:rFonts w:ascii="Times New Roman" w:hAnsi="Times New Roman" w:cs="Times New Roman"/>
        </w:rPr>
        <w:t xml:space="preserve">. 652, 657, 94 </w:t>
      </w:r>
      <w:proofErr w:type="spellStart"/>
      <w:r w:rsidRPr="00B93030">
        <w:rPr>
          <w:rFonts w:ascii="Times New Roman" w:hAnsi="Times New Roman" w:cs="Times New Roman"/>
        </w:rPr>
        <w:t>L.Ed</w:t>
      </w:r>
      <w:proofErr w:type="spellEnd"/>
      <w:r w:rsidRPr="00B93030">
        <w:rPr>
          <w:rFonts w:ascii="Times New Roman" w:hAnsi="Times New Roman" w:cs="Times New Roman"/>
        </w:rPr>
        <w:t xml:space="preserve">. 865 (1950).  Everything we do in bankruptcy is premised on due process based upon “notice and the opportunity for a hearing.”  </w:t>
      </w:r>
      <w:proofErr w:type="spellStart"/>
      <w:r w:rsidRPr="00B93030">
        <w:rPr>
          <w:rFonts w:ascii="Times New Roman" w:hAnsi="Times New Roman" w:cs="Times New Roman"/>
          <w:i/>
          <w:iCs/>
        </w:rPr>
        <w:t>Mullane</w:t>
      </w:r>
      <w:proofErr w:type="spellEnd"/>
      <w:r w:rsidRPr="00B93030">
        <w:rPr>
          <w:rFonts w:ascii="Times New Roman" w:hAnsi="Times New Roman" w:cs="Times New Roman"/>
        </w:rPr>
        <w:t xml:space="preserve"> is the case to know by name on the constitutional requirements for notice:  "An elementary and fundamental requirement of due process in any proceeding which is to be accorded finality is notice reasonably calculated, under all the circumstances, to apprise interested parties of the pendency of the action and afford them an opportunity to present their objections." </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u w:val="single"/>
        </w:rPr>
        <w:t>United States v. Whiting Pools, Inc.</w:t>
      </w:r>
      <w:r w:rsidRPr="00B93030">
        <w:rPr>
          <w:rFonts w:ascii="Times New Roman" w:hAnsi="Times New Roman" w:cs="Times New Roman"/>
        </w:rPr>
        <w:t xml:space="preserve">, 462 U.S. 198, 203, 103 </w:t>
      </w:r>
      <w:proofErr w:type="spellStart"/>
      <w:r w:rsidRPr="00B93030">
        <w:rPr>
          <w:rFonts w:ascii="Times New Roman" w:hAnsi="Times New Roman" w:cs="Times New Roman"/>
        </w:rPr>
        <w:t>S.Ct</w:t>
      </w:r>
      <w:proofErr w:type="spellEnd"/>
      <w:r w:rsidRPr="00B93030">
        <w:rPr>
          <w:rFonts w:ascii="Times New Roman" w:hAnsi="Times New Roman" w:cs="Times New Roman"/>
        </w:rPr>
        <w:t xml:space="preserve">. 2309, 76 L.Ed.2d 515 (1983).  Stands for the proposition that the IRS is no better than any other creditor and has to follow the bankruptcy laws like everyone else.  One of the IRS’s arguments was that it was exempt from the Bankruptcy Code's provision that related to other secured creditors. </w:t>
      </w:r>
      <w:r w:rsidRPr="00B93030">
        <w:rPr>
          <w:rFonts w:ascii="Times New Roman" w:hAnsi="Times New Roman" w:cs="Times New Roman"/>
          <w:i/>
          <w:iCs/>
        </w:rPr>
        <w:t>Whiting Pools</w:t>
      </w:r>
      <w:r w:rsidRPr="00B93030">
        <w:rPr>
          <w:rFonts w:ascii="Times New Roman" w:hAnsi="Times New Roman" w:cs="Times New Roman"/>
        </w:rPr>
        <w:t xml:space="preserve"> also held that a debtor’s estate includes property that has already been seized by a creditor. </w:t>
      </w:r>
    </w:p>
    <w:p w:rsidR="00B93030" w:rsidRPr="00B93030" w:rsidRDefault="00B93030" w:rsidP="00B93030">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u w:val="single"/>
        </w:rPr>
        <w:t>BFP v. Resolution Trust Corp.</w:t>
      </w:r>
      <w:r w:rsidRPr="00B93030">
        <w:rPr>
          <w:rFonts w:ascii="Times New Roman" w:hAnsi="Times New Roman" w:cs="Times New Roman"/>
        </w:rPr>
        <w:t xml:space="preserve">, 511 U.S. 531, 114 </w:t>
      </w:r>
      <w:proofErr w:type="spellStart"/>
      <w:r w:rsidRPr="00B93030">
        <w:rPr>
          <w:rFonts w:ascii="Times New Roman" w:hAnsi="Times New Roman" w:cs="Times New Roman"/>
        </w:rPr>
        <w:t>S.Ct</w:t>
      </w:r>
      <w:proofErr w:type="spellEnd"/>
      <w:r w:rsidRPr="00B93030">
        <w:rPr>
          <w:rFonts w:ascii="Times New Roman" w:hAnsi="Times New Roman" w:cs="Times New Roman"/>
        </w:rPr>
        <w:t xml:space="preserve">. 1757, 128 L.Ed.2d 556 (1994).  A non-collusive and regularly conducted </w:t>
      </w:r>
      <w:proofErr w:type="spellStart"/>
      <w:r w:rsidRPr="00B93030">
        <w:rPr>
          <w:rFonts w:ascii="Times New Roman" w:hAnsi="Times New Roman" w:cs="Times New Roman"/>
        </w:rPr>
        <w:t>nonjudicial</w:t>
      </w:r>
      <w:proofErr w:type="spellEnd"/>
      <w:r w:rsidRPr="00B93030">
        <w:rPr>
          <w:rFonts w:ascii="Times New Roman" w:hAnsi="Times New Roman" w:cs="Times New Roman"/>
        </w:rPr>
        <w:t xml:space="preserve"> foreclosure sale could not be challenged as a fraudulent conveyance because the consideration received in such a sale established reasonably equivalent value as a matter of law.  This case set the old </w:t>
      </w:r>
      <w:r w:rsidRPr="00B93030">
        <w:rPr>
          <w:rFonts w:ascii="Times New Roman" w:hAnsi="Times New Roman" w:cs="Times New Roman"/>
          <w:i/>
          <w:iCs/>
        </w:rPr>
        <w:t>Madrid</w:t>
      </w:r>
      <w:r w:rsidRPr="00B93030">
        <w:rPr>
          <w:rFonts w:ascii="Times New Roman" w:hAnsi="Times New Roman" w:cs="Times New Roman"/>
        </w:rPr>
        <w:t xml:space="preserve"> rule in stone.</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u w:val="single"/>
        </w:rPr>
        <w:t>Nobleman v. American Savings Bank</w:t>
      </w:r>
      <w:r w:rsidRPr="00B93030">
        <w:rPr>
          <w:rFonts w:ascii="Times New Roman" w:hAnsi="Times New Roman" w:cs="Times New Roman"/>
        </w:rPr>
        <w:t xml:space="preserve">, 508 U.S. 324, 113 </w:t>
      </w:r>
      <w:proofErr w:type="spellStart"/>
      <w:r w:rsidRPr="00B93030">
        <w:rPr>
          <w:rFonts w:ascii="Times New Roman" w:hAnsi="Times New Roman" w:cs="Times New Roman"/>
        </w:rPr>
        <w:t>S.Ct</w:t>
      </w:r>
      <w:proofErr w:type="spellEnd"/>
      <w:r w:rsidRPr="00B93030">
        <w:rPr>
          <w:rFonts w:ascii="Times New Roman" w:hAnsi="Times New Roman" w:cs="Times New Roman"/>
        </w:rPr>
        <w:t xml:space="preserve">. 2106, 124 L.Ed.2d 228 (1993).  The protection of §1322(b)(2) prevents the use of 11 U.S.C. §506(a) to "strip down" the lien of a mortgage to the value of the mortgaged real estate when the creditor's claim is secured only by a lien on the debtor's principal residence.  The holding in </w:t>
      </w:r>
      <w:r w:rsidRPr="00B93030">
        <w:rPr>
          <w:rFonts w:ascii="Times New Roman" w:hAnsi="Times New Roman" w:cs="Times New Roman"/>
          <w:i/>
          <w:iCs/>
        </w:rPr>
        <w:t>Nobleman</w:t>
      </w:r>
      <w:r w:rsidRPr="00B93030">
        <w:rPr>
          <w:rFonts w:ascii="Times New Roman" w:hAnsi="Times New Roman" w:cs="Times New Roman"/>
        </w:rPr>
        <w:t xml:space="preserve"> is what courts must distinguish in allowing the stripping of wholly unsecured second and third mortgages in Chapter 13 cases – and until that issue gets to the U.S. Supreme Court, there is still some uncertainty, in some jurisdictions, surrounding the allowance of mortgage strips in Chapter 13.</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proofErr w:type="spellStart"/>
      <w:r w:rsidRPr="00B93030">
        <w:rPr>
          <w:rFonts w:ascii="Times New Roman" w:hAnsi="Times New Roman" w:cs="Times New Roman"/>
          <w:b/>
          <w:bCs/>
          <w:u w:val="single"/>
        </w:rPr>
        <w:t>Dewsnup</w:t>
      </w:r>
      <w:proofErr w:type="spellEnd"/>
      <w:r w:rsidRPr="00B93030">
        <w:rPr>
          <w:rFonts w:ascii="Times New Roman" w:hAnsi="Times New Roman" w:cs="Times New Roman"/>
          <w:b/>
          <w:bCs/>
          <w:u w:val="single"/>
        </w:rPr>
        <w:t xml:space="preserve"> v. </w:t>
      </w:r>
      <w:proofErr w:type="spellStart"/>
      <w:r w:rsidRPr="00B93030">
        <w:rPr>
          <w:rFonts w:ascii="Times New Roman" w:hAnsi="Times New Roman" w:cs="Times New Roman"/>
          <w:b/>
          <w:bCs/>
          <w:u w:val="single"/>
        </w:rPr>
        <w:t>Timm</w:t>
      </w:r>
      <w:proofErr w:type="spellEnd"/>
      <w:r w:rsidRPr="00B93030">
        <w:rPr>
          <w:rFonts w:ascii="Times New Roman" w:hAnsi="Times New Roman" w:cs="Times New Roman"/>
        </w:rPr>
        <w:t xml:space="preserve">, 502 U.S. 410, 112 </w:t>
      </w:r>
      <w:proofErr w:type="spellStart"/>
      <w:r w:rsidRPr="00B93030">
        <w:rPr>
          <w:rFonts w:ascii="Times New Roman" w:hAnsi="Times New Roman" w:cs="Times New Roman"/>
        </w:rPr>
        <w:t>S.Ct</w:t>
      </w:r>
      <w:proofErr w:type="spellEnd"/>
      <w:r w:rsidRPr="00B93030">
        <w:rPr>
          <w:rFonts w:ascii="Times New Roman" w:hAnsi="Times New Roman" w:cs="Times New Roman"/>
        </w:rPr>
        <w:t xml:space="preserve">. 773, 116 L.Ed.2d 903 (1992).  A debtor's suit to "strip down" creditors' lien on the debtor's real property to equal the property's fair market value and declare the remainder void was dismissed because the creditors' claim had been "allowed" and was "secured."  </w:t>
      </w:r>
      <w:proofErr w:type="spellStart"/>
      <w:r w:rsidRPr="00B93030">
        <w:rPr>
          <w:rFonts w:ascii="Times New Roman" w:hAnsi="Times New Roman" w:cs="Times New Roman"/>
          <w:i/>
          <w:iCs/>
        </w:rPr>
        <w:t>Dewsnup</w:t>
      </w:r>
      <w:proofErr w:type="spellEnd"/>
      <w:r w:rsidRPr="00B93030">
        <w:rPr>
          <w:rFonts w:ascii="Times New Roman" w:hAnsi="Times New Roman" w:cs="Times New Roman"/>
        </w:rPr>
        <w:t xml:space="preserve"> was followed in the recent “strip off” decision,</w:t>
      </w:r>
      <w:r w:rsidRPr="00B93030">
        <w:rPr>
          <w:rFonts w:ascii="Times New Roman" w:hAnsi="Times New Roman" w:cs="Times New Roman"/>
          <w:i/>
          <w:iCs/>
        </w:rPr>
        <w:t xml:space="preserve"> </w:t>
      </w:r>
      <w:r w:rsidRPr="00B93030">
        <w:rPr>
          <w:rFonts w:ascii="Times New Roman" w:hAnsi="Times New Roman" w:cs="Times New Roman"/>
          <w:b/>
          <w:bCs/>
          <w:u w:val="single"/>
        </w:rPr>
        <w:t xml:space="preserve">Bank of America, N.A. v. </w:t>
      </w:r>
      <w:proofErr w:type="spellStart"/>
      <w:r w:rsidRPr="00B93030">
        <w:rPr>
          <w:rFonts w:ascii="Times New Roman" w:hAnsi="Times New Roman" w:cs="Times New Roman"/>
          <w:b/>
          <w:bCs/>
          <w:u w:val="single"/>
        </w:rPr>
        <w:t>Caulkett</w:t>
      </w:r>
      <w:proofErr w:type="spellEnd"/>
      <w:r w:rsidRPr="00B93030">
        <w:rPr>
          <w:rFonts w:ascii="Times New Roman" w:hAnsi="Times New Roman" w:cs="Times New Roman"/>
        </w:rPr>
        <w:t xml:space="preserve">, ___ U.S. ___, 135 </w:t>
      </w:r>
      <w:proofErr w:type="spellStart"/>
      <w:r w:rsidRPr="00B93030">
        <w:rPr>
          <w:rFonts w:ascii="Times New Roman" w:hAnsi="Times New Roman" w:cs="Times New Roman"/>
        </w:rPr>
        <w:t>S.Ct</w:t>
      </w:r>
      <w:proofErr w:type="spellEnd"/>
      <w:r w:rsidRPr="00B93030">
        <w:rPr>
          <w:rFonts w:ascii="Times New Roman" w:hAnsi="Times New Roman" w:cs="Times New Roman"/>
        </w:rPr>
        <w:t>. 1995, 192 L.Ed.2d 52 (2015).</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proofErr w:type="spellStart"/>
      <w:r w:rsidRPr="00B93030">
        <w:rPr>
          <w:rFonts w:ascii="Times New Roman" w:hAnsi="Times New Roman" w:cs="Times New Roman"/>
          <w:b/>
          <w:bCs/>
          <w:u w:val="single"/>
        </w:rPr>
        <w:t>Marrama</w:t>
      </w:r>
      <w:proofErr w:type="spellEnd"/>
      <w:r w:rsidRPr="00B93030">
        <w:rPr>
          <w:rFonts w:ascii="Times New Roman" w:hAnsi="Times New Roman" w:cs="Times New Roman"/>
          <w:b/>
          <w:bCs/>
          <w:u w:val="single"/>
        </w:rPr>
        <w:t xml:space="preserve"> v. Citizens Bank of Massachusetts</w:t>
      </w:r>
      <w:r w:rsidRPr="00B93030">
        <w:rPr>
          <w:rFonts w:ascii="Times New Roman" w:hAnsi="Times New Roman" w:cs="Times New Roman"/>
        </w:rPr>
        <w:t xml:space="preserve">, 549 U.S. 365, 367, 127 </w:t>
      </w:r>
      <w:proofErr w:type="spellStart"/>
      <w:r w:rsidRPr="00B93030">
        <w:rPr>
          <w:rFonts w:ascii="Times New Roman" w:hAnsi="Times New Roman" w:cs="Times New Roman"/>
        </w:rPr>
        <w:t>S.Ct</w:t>
      </w:r>
      <w:proofErr w:type="spellEnd"/>
      <w:r w:rsidRPr="00B93030">
        <w:rPr>
          <w:rFonts w:ascii="Times New Roman" w:hAnsi="Times New Roman" w:cs="Times New Roman"/>
        </w:rPr>
        <w:t>. 1105, 166 L.Ed.2d 956 (2007).  There is no ‘absolute right’ to convert a Chapter 7 case to a Chapter 13.  Where there is fraud, §706(d) provides adequate authority for the denial of conversion, where there has been fraud.  Further, nothing in the text of either §706 or §1307(c) (or the legislative history of either provision) limited the authority of a court to take appropriate action in response to fraudulent conduct by the atypical litigant who had demonstrated that the litigant was not entitled to the relief available to the typical debtor.  The broad authority granted to bankruptcy judges in §105(a) was adequate to authorize an immediate denial of a §706(a) motion to convert.  The impact of this decision on the debtor’s ‘absolute right to dismiss’ a Chapter 13 case is still a hot issue before the courts.</w:t>
      </w:r>
    </w:p>
    <w:p w:rsidR="000B0078" w:rsidRPr="00B93030" w:rsidRDefault="000B0078" w:rsidP="000B0078">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u w:val="single"/>
        </w:rPr>
        <w:lastRenderedPageBreak/>
        <w:t>Assocs. Commercial Corp. v. Rash</w:t>
      </w:r>
      <w:r w:rsidRPr="00B93030">
        <w:rPr>
          <w:rFonts w:ascii="Times New Roman" w:hAnsi="Times New Roman" w:cs="Times New Roman"/>
        </w:rPr>
        <w:t xml:space="preserve">, 520 U.S. 953, 117 </w:t>
      </w:r>
      <w:proofErr w:type="spellStart"/>
      <w:r w:rsidRPr="00B93030">
        <w:rPr>
          <w:rFonts w:ascii="Times New Roman" w:hAnsi="Times New Roman" w:cs="Times New Roman"/>
        </w:rPr>
        <w:t>S.Ct</w:t>
      </w:r>
      <w:proofErr w:type="spellEnd"/>
      <w:r w:rsidRPr="00B93030">
        <w:rPr>
          <w:rFonts w:ascii="Times New Roman" w:hAnsi="Times New Roman" w:cs="Times New Roman"/>
        </w:rPr>
        <w:t>. 1879, 138 L.Ed.2d (1997).  In determining the value of a creditor’s secured claim in property subject to a debtor’s “</w:t>
      </w:r>
      <w:proofErr w:type="spellStart"/>
      <w:r w:rsidRPr="00B93030">
        <w:rPr>
          <w:rFonts w:ascii="Times New Roman" w:hAnsi="Times New Roman" w:cs="Times New Roman"/>
        </w:rPr>
        <w:t>cramdown</w:t>
      </w:r>
      <w:proofErr w:type="spellEnd"/>
      <w:r w:rsidRPr="00B93030">
        <w:rPr>
          <w:rFonts w:ascii="Times New Roman" w:hAnsi="Times New Roman" w:cs="Times New Roman"/>
        </w:rPr>
        <w:t xml:space="preserve">” under §1325, courts must use a replacement value standard that depends on the type of debtor and the nature of the property and its intended use. </w:t>
      </w:r>
    </w:p>
    <w:p w:rsidR="000B0078" w:rsidRPr="00B93030" w:rsidRDefault="000B0078"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u w:val="single"/>
        </w:rPr>
        <w:t>Till v. SCS Credit Corp.</w:t>
      </w:r>
      <w:r w:rsidRPr="00B93030">
        <w:rPr>
          <w:rFonts w:ascii="Times New Roman" w:hAnsi="Times New Roman" w:cs="Times New Roman"/>
        </w:rPr>
        <w:t xml:space="preserve">, 541 U.S. 465, 124 </w:t>
      </w:r>
      <w:proofErr w:type="spellStart"/>
      <w:r w:rsidRPr="00B93030">
        <w:rPr>
          <w:rFonts w:ascii="Times New Roman" w:hAnsi="Times New Roman" w:cs="Times New Roman"/>
        </w:rPr>
        <w:t>S.Ct</w:t>
      </w:r>
      <w:proofErr w:type="spellEnd"/>
      <w:r w:rsidRPr="00B93030">
        <w:rPr>
          <w:rFonts w:ascii="Times New Roman" w:hAnsi="Times New Roman" w:cs="Times New Roman"/>
        </w:rPr>
        <w:t>. 1951, 158 L.Ed.2d 787 (2004).  The controversy over the 4-4-1 split seems to have died down, and reductions in interest rates to “prime plus a risk factor” of 1% to 3% are being applied to all kinds of high interest rate loans (other than mortgages on the debtor’s primary residence), reducing the amount of interest that Chapter 13 debtors have to pay.  The majority of courts allow the “</w:t>
      </w:r>
      <w:r w:rsidRPr="00B93030">
        <w:rPr>
          <w:rFonts w:ascii="Times New Roman" w:hAnsi="Times New Roman" w:cs="Times New Roman"/>
          <w:i/>
          <w:iCs/>
        </w:rPr>
        <w:t>Till</w:t>
      </w:r>
      <w:r w:rsidRPr="00B93030">
        <w:rPr>
          <w:rFonts w:ascii="Times New Roman" w:hAnsi="Times New Roman" w:cs="Times New Roman"/>
        </w:rPr>
        <w:t>-</w:t>
      </w:r>
      <w:proofErr w:type="spellStart"/>
      <w:r w:rsidRPr="00B93030">
        <w:rPr>
          <w:rFonts w:ascii="Times New Roman" w:hAnsi="Times New Roman" w:cs="Times New Roman"/>
        </w:rPr>
        <w:t>ing</w:t>
      </w:r>
      <w:proofErr w:type="spellEnd"/>
      <w:r w:rsidRPr="00B93030">
        <w:rPr>
          <w:rFonts w:ascii="Times New Roman" w:hAnsi="Times New Roman" w:cs="Times New Roman"/>
        </w:rPr>
        <w:t xml:space="preserve"> of interest” on 910 vehicle loans, and “</w:t>
      </w:r>
      <w:r w:rsidRPr="00B93030">
        <w:rPr>
          <w:rFonts w:ascii="Times New Roman" w:hAnsi="Times New Roman" w:cs="Times New Roman"/>
          <w:i/>
          <w:iCs/>
        </w:rPr>
        <w:t>Till</w:t>
      </w:r>
      <w:r w:rsidRPr="00B93030">
        <w:rPr>
          <w:rFonts w:ascii="Times New Roman" w:hAnsi="Times New Roman" w:cs="Times New Roman"/>
        </w:rPr>
        <w:t>-</w:t>
      </w:r>
      <w:proofErr w:type="spellStart"/>
      <w:r w:rsidRPr="00B93030">
        <w:rPr>
          <w:rFonts w:ascii="Times New Roman" w:hAnsi="Times New Roman" w:cs="Times New Roman"/>
        </w:rPr>
        <w:t>ing</w:t>
      </w:r>
      <w:proofErr w:type="spellEnd"/>
      <w:r w:rsidRPr="00B93030">
        <w:rPr>
          <w:rFonts w:ascii="Times New Roman" w:hAnsi="Times New Roman" w:cs="Times New Roman"/>
        </w:rPr>
        <w:t xml:space="preserve"> up” very low interest rate motor vehicle loans under certain circumstances.</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u w:val="single"/>
        </w:rPr>
        <w:t xml:space="preserve">United Savings Association of Texas v. Timbers of </w:t>
      </w:r>
      <w:proofErr w:type="spellStart"/>
      <w:r w:rsidRPr="00B93030">
        <w:rPr>
          <w:rFonts w:ascii="Times New Roman" w:hAnsi="Times New Roman" w:cs="Times New Roman"/>
          <w:b/>
          <w:bCs/>
          <w:u w:val="single"/>
        </w:rPr>
        <w:t>Inwood</w:t>
      </w:r>
      <w:proofErr w:type="spellEnd"/>
      <w:r w:rsidRPr="00B93030">
        <w:rPr>
          <w:rFonts w:ascii="Times New Roman" w:hAnsi="Times New Roman" w:cs="Times New Roman"/>
          <w:b/>
          <w:bCs/>
          <w:u w:val="single"/>
        </w:rPr>
        <w:t xml:space="preserve"> Forest Associates</w:t>
      </w:r>
      <w:r w:rsidRPr="00B93030">
        <w:rPr>
          <w:rFonts w:ascii="Times New Roman" w:hAnsi="Times New Roman" w:cs="Times New Roman"/>
        </w:rPr>
        <w:t xml:space="preserve">, 484 U.S. 365, 370-371, 108 </w:t>
      </w:r>
      <w:proofErr w:type="spellStart"/>
      <w:r w:rsidRPr="00B93030">
        <w:rPr>
          <w:rFonts w:ascii="Times New Roman" w:hAnsi="Times New Roman" w:cs="Times New Roman"/>
        </w:rPr>
        <w:t>S.Ct</w:t>
      </w:r>
      <w:proofErr w:type="spellEnd"/>
      <w:r w:rsidRPr="00B93030">
        <w:rPr>
          <w:rFonts w:ascii="Times New Roman" w:hAnsi="Times New Roman" w:cs="Times New Roman"/>
        </w:rPr>
        <w:t xml:space="preserve">. 626, 98 L.Ed.2d 740 (1988).  When a motion for relief from stay is filed, once the movant shows that the debtor has no equity in the property, the burden shifts to the debtor to establish that the property is "necessary to an effective reorganization" and that there is "a reasonable possibility of a successful reorganization within a reasonable time."   And, </w:t>
      </w:r>
      <w:r w:rsidRPr="00B93030">
        <w:rPr>
          <w:rFonts w:ascii="Times New Roman" w:hAnsi="Times New Roman" w:cs="Times New Roman"/>
          <w:i/>
          <w:iCs/>
        </w:rPr>
        <w:t>Timbers</w:t>
      </w:r>
      <w:r w:rsidRPr="00B93030">
        <w:rPr>
          <w:rFonts w:ascii="Times New Roman" w:hAnsi="Times New Roman" w:cs="Times New Roman"/>
        </w:rPr>
        <w:t xml:space="preserve"> also held that when secured collateral is declining in value, the secured creditor is entitled to cash payments or additional security in the amount of the decline.</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spacing w:val="-3"/>
          <w:u w:val="single"/>
        </w:rPr>
        <w:t xml:space="preserve">Citizens Bank of Maryland v. </w:t>
      </w:r>
      <w:proofErr w:type="spellStart"/>
      <w:r w:rsidRPr="00B93030">
        <w:rPr>
          <w:rFonts w:ascii="Times New Roman" w:hAnsi="Times New Roman" w:cs="Times New Roman"/>
          <w:b/>
          <w:bCs/>
          <w:spacing w:val="-3"/>
          <w:u w:val="single"/>
        </w:rPr>
        <w:t>Strumpf</w:t>
      </w:r>
      <w:proofErr w:type="spellEnd"/>
      <w:r w:rsidRPr="00B93030">
        <w:rPr>
          <w:rFonts w:ascii="Times New Roman" w:hAnsi="Times New Roman" w:cs="Times New Roman"/>
          <w:spacing w:val="-3"/>
        </w:rPr>
        <w:t xml:space="preserve">, 516 U.S. 16, 166 </w:t>
      </w:r>
      <w:proofErr w:type="spellStart"/>
      <w:r w:rsidRPr="00B93030">
        <w:rPr>
          <w:rFonts w:ascii="Times New Roman" w:hAnsi="Times New Roman" w:cs="Times New Roman"/>
          <w:spacing w:val="-3"/>
        </w:rPr>
        <w:t>S.Ct</w:t>
      </w:r>
      <w:proofErr w:type="spellEnd"/>
      <w:r w:rsidRPr="00B93030">
        <w:rPr>
          <w:rFonts w:ascii="Times New Roman" w:hAnsi="Times New Roman" w:cs="Times New Roman"/>
          <w:spacing w:val="-3"/>
        </w:rPr>
        <w:t>. 286, 133 L.Ed.2d 258 (1995).  The Supreme Court held that bank accounts may be frozen, by the bank, to preserve their right to set off debts owed to them against the debtor's accounts.  However, if the accounts are frozen, the creditor has move quickly to seek relief from stay to effectuate a setoff.</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u w:val="single"/>
        </w:rPr>
        <w:t>Grogan v. Garner</w:t>
      </w:r>
      <w:r w:rsidRPr="00B93030">
        <w:rPr>
          <w:rFonts w:ascii="Times New Roman" w:hAnsi="Times New Roman" w:cs="Times New Roman"/>
        </w:rPr>
        <w:t xml:space="preserve">, 498 U.S. 279, 111 </w:t>
      </w:r>
      <w:proofErr w:type="spellStart"/>
      <w:r w:rsidRPr="00B93030">
        <w:rPr>
          <w:rFonts w:ascii="Times New Roman" w:hAnsi="Times New Roman" w:cs="Times New Roman"/>
        </w:rPr>
        <w:t>S.Ct</w:t>
      </w:r>
      <w:proofErr w:type="spellEnd"/>
      <w:r w:rsidRPr="00B93030">
        <w:rPr>
          <w:rFonts w:ascii="Times New Roman" w:hAnsi="Times New Roman" w:cs="Times New Roman"/>
        </w:rPr>
        <w:t xml:space="preserve">. 654, 112 L.Ed.2d 755 (1991), the Supreme Court stated: "Because the preponderance-of-the-evidence standard results in a roughly equal allocation of the risk of error between litigants, we presume that this standard is applicable in civil actions between private litigants unless 'particularly important individual interests or rights are at stake.'"  </w:t>
      </w:r>
      <w:r w:rsidRPr="00B93030">
        <w:rPr>
          <w:rFonts w:ascii="Times New Roman" w:hAnsi="Times New Roman" w:cs="Times New Roman"/>
          <w:i/>
          <w:iCs/>
        </w:rPr>
        <w:t>Grogan</w:t>
      </w:r>
      <w:r w:rsidRPr="00B93030">
        <w:rPr>
          <w:rFonts w:ascii="Times New Roman" w:hAnsi="Times New Roman" w:cs="Times New Roman"/>
        </w:rPr>
        <w:t xml:space="preserve">’s endorsement of the lower “preponderance” standard in </w:t>
      </w:r>
      <w:proofErr w:type="spellStart"/>
      <w:r w:rsidRPr="00B93030">
        <w:rPr>
          <w:rFonts w:ascii="Times New Roman" w:hAnsi="Times New Roman" w:cs="Times New Roman"/>
        </w:rPr>
        <w:t>dischargeability</w:t>
      </w:r>
      <w:proofErr w:type="spellEnd"/>
      <w:r w:rsidRPr="00B93030">
        <w:rPr>
          <w:rFonts w:ascii="Times New Roman" w:hAnsi="Times New Roman" w:cs="Times New Roman"/>
        </w:rPr>
        <w:t xml:space="preserve"> proceedings means that state and federal court judgments are more likely to be given preclusive effect, because the judgment-issuing court will have either used the preponderance standard, or a higher one.</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u w:val="single"/>
        </w:rPr>
        <w:t>United States v. Ron Pair Enterprises, Inc.</w:t>
      </w:r>
      <w:r w:rsidRPr="00B93030">
        <w:rPr>
          <w:rFonts w:ascii="Times New Roman" w:hAnsi="Times New Roman" w:cs="Times New Roman"/>
        </w:rPr>
        <w:t xml:space="preserve">, 489 U.S. 235, 109 </w:t>
      </w:r>
      <w:proofErr w:type="spellStart"/>
      <w:r w:rsidRPr="00B93030">
        <w:rPr>
          <w:rFonts w:ascii="Times New Roman" w:hAnsi="Times New Roman" w:cs="Times New Roman"/>
        </w:rPr>
        <w:t>S.Ct</w:t>
      </w:r>
      <w:proofErr w:type="spellEnd"/>
      <w:r w:rsidRPr="00B93030">
        <w:rPr>
          <w:rFonts w:ascii="Times New Roman" w:hAnsi="Times New Roman" w:cs="Times New Roman"/>
        </w:rPr>
        <w:t xml:space="preserve">. 1026, 103 L.Ed.2d 290 (1989).  The law specifically allowed </w:t>
      </w:r>
      <w:proofErr w:type="spellStart"/>
      <w:r w:rsidRPr="00B93030">
        <w:rPr>
          <w:rFonts w:ascii="Times New Roman" w:hAnsi="Times New Roman" w:cs="Times New Roman"/>
        </w:rPr>
        <w:t>postpetition</w:t>
      </w:r>
      <w:proofErr w:type="spellEnd"/>
      <w:r w:rsidRPr="00B93030">
        <w:rPr>
          <w:rFonts w:ascii="Times New Roman" w:hAnsi="Times New Roman" w:cs="Times New Roman"/>
        </w:rPr>
        <w:t xml:space="preserve"> interest on a nonconsensual </w:t>
      </w:r>
      <w:proofErr w:type="spellStart"/>
      <w:r w:rsidRPr="00B93030">
        <w:rPr>
          <w:rFonts w:ascii="Times New Roman" w:hAnsi="Times New Roman" w:cs="Times New Roman"/>
        </w:rPr>
        <w:t>oversecured</w:t>
      </w:r>
      <w:proofErr w:type="spellEnd"/>
      <w:r w:rsidRPr="00B93030">
        <w:rPr>
          <w:rFonts w:ascii="Times New Roman" w:hAnsi="Times New Roman" w:cs="Times New Roman"/>
        </w:rPr>
        <w:t xml:space="preserve"> lien as well as on a consensual claim in light of the clear language of 11 U.S.C.S. §506(b).  Congress intended that all </w:t>
      </w:r>
      <w:proofErr w:type="spellStart"/>
      <w:r w:rsidRPr="00B93030">
        <w:rPr>
          <w:rFonts w:ascii="Times New Roman" w:hAnsi="Times New Roman" w:cs="Times New Roman"/>
        </w:rPr>
        <w:t>oversecured</w:t>
      </w:r>
      <w:proofErr w:type="spellEnd"/>
      <w:r w:rsidRPr="00B93030">
        <w:rPr>
          <w:rFonts w:ascii="Times New Roman" w:hAnsi="Times New Roman" w:cs="Times New Roman"/>
        </w:rPr>
        <w:t xml:space="preserve"> claims be treated the same way for purposes of </w:t>
      </w:r>
      <w:proofErr w:type="spellStart"/>
      <w:r w:rsidRPr="00B93030">
        <w:rPr>
          <w:rFonts w:ascii="Times New Roman" w:hAnsi="Times New Roman" w:cs="Times New Roman"/>
        </w:rPr>
        <w:t>postpetition</w:t>
      </w:r>
      <w:proofErr w:type="spellEnd"/>
      <w:r w:rsidRPr="00B93030">
        <w:rPr>
          <w:rFonts w:ascii="Times New Roman" w:hAnsi="Times New Roman" w:cs="Times New Roman"/>
        </w:rPr>
        <w:t xml:space="preserve"> interest.</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u w:val="single"/>
        </w:rPr>
        <w:t xml:space="preserve">Johnson v. </w:t>
      </w:r>
      <w:proofErr w:type="spellStart"/>
      <w:r w:rsidRPr="00B93030">
        <w:rPr>
          <w:rFonts w:ascii="Times New Roman" w:hAnsi="Times New Roman" w:cs="Times New Roman"/>
          <w:b/>
          <w:bCs/>
          <w:u w:val="single"/>
        </w:rPr>
        <w:t>Homestate</w:t>
      </w:r>
      <w:proofErr w:type="spellEnd"/>
      <w:r w:rsidRPr="00B93030">
        <w:rPr>
          <w:rFonts w:ascii="Times New Roman" w:hAnsi="Times New Roman" w:cs="Times New Roman"/>
          <w:b/>
          <w:bCs/>
          <w:u w:val="single"/>
        </w:rPr>
        <w:t xml:space="preserve"> Bank</w:t>
      </w:r>
      <w:r w:rsidRPr="00B93030">
        <w:rPr>
          <w:rFonts w:ascii="Times New Roman" w:hAnsi="Times New Roman" w:cs="Times New Roman"/>
        </w:rPr>
        <w:t xml:space="preserve">, 501 U.S. 78, 111 S.Ct.2150, 115 L.Ed.2d 66 (1991).  Held that the Code permits “Chapter 20” cases – a Chapter 13 following hard on the heels of a Chapter 7.  Further, </w:t>
      </w:r>
      <w:r w:rsidRPr="00B93030">
        <w:rPr>
          <w:rFonts w:ascii="Times New Roman" w:hAnsi="Times New Roman" w:cs="Times New Roman"/>
          <w:i/>
          <w:iCs/>
        </w:rPr>
        <w:t>Johnson</w:t>
      </w:r>
      <w:r w:rsidRPr="00B93030">
        <w:rPr>
          <w:rFonts w:ascii="Times New Roman" w:hAnsi="Times New Roman" w:cs="Times New Roman"/>
        </w:rPr>
        <w:t xml:space="preserve"> held that a creditor with an obligation secured by a lien on a debtor’s property that the debtor has no personal liability, due to a prior bankruptcy discharge, still has a claim against the subsequent Chapter 13 estate and that claim can be dealt with in the Chapter 13 case.</w:t>
      </w:r>
    </w:p>
    <w:p w:rsidR="00B93030" w:rsidRDefault="00B93030" w:rsidP="00B93030">
      <w:pPr>
        <w:autoSpaceDE w:val="0"/>
        <w:autoSpaceDN w:val="0"/>
        <w:adjustRightInd w:val="0"/>
        <w:spacing w:after="0" w:line="240" w:lineRule="auto"/>
        <w:rPr>
          <w:rFonts w:ascii="Times New Roman" w:hAnsi="Times New Roman" w:cs="Times New Roman"/>
        </w:rPr>
      </w:pPr>
    </w:p>
    <w:p w:rsidR="000B0078" w:rsidRDefault="000B0078" w:rsidP="00B93030">
      <w:pPr>
        <w:autoSpaceDE w:val="0"/>
        <w:autoSpaceDN w:val="0"/>
        <w:adjustRightInd w:val="0"/>
        <w:spacing w:after="0" w:line="240" w:lineRule="auto"/>
        <w:rPr>
          <w:rFonts w:ascii="Times New Roman" w:hAnsi="Times New Roman" w:cs="Times New Roman"/>
        </w:rPr>
      </w:pPr>
    </w:p>
    <w:p w:rsidR="000B0078" w:rsidRDefault="000B0078" w:rsidP="00B93030">
      <w:pPr>
        <w:autoSpaceDE w:val="0"/>
        <w:autoSpaceDN w:val="0"/>
        <w:adjustRightInd w:val="0"/>
        <w:spacing w:after="0" w:line="240" w:lineRule="auto"/>
        <w:rPr>
          <w:rFonts w:ascii="Times New Roman" w:hAnsi="Times New Roman" w:cs="Times New Roman"/>
        </w:rPr>
      </w:pPr>
    </w:p>
    <w:p w:rsidR="000B0078" w:rsidRDefault="000B0078" w:rsidP="00B93030">
      <w:pPr>
        <w:autoSpaceDE w:val="0"/>
        <w:autoSpaceDN w:val="0"/>
        <w:adjustRightInd w:val="0"/>
        <w:spacing w:after="0" w:line="240" w:lineRule="auto"/>
        <w:rPr>
          <w:rFonts w:ascii="Times New Roman" w:hAnsi="Times New Roman" w:cs="Times New Roman"/>
        </w:rPr>
      </w:pPr>
    </w:p>
    <w:p w:rsidR="000B0078" w:rsidRDefault="000B0078" w:rsidP="00B93030">
      <w:pPr>
        <w:autoSpaceDE w:val="0"/>
        <w:autoSpaceDN w:val="0"/>
        <w:adjustRightInd w:val="0"/>
        <w:spacing w:after="0" w:line="240" w:lineRule="auto"/>
        <w:rPr>
          <w:rFonts w:ascii="Times New Roman" w:hAnsi="Times New Roman" w:cs="Times New Roman"/>
        </w:rPr>
      </w:pPr>
      <w:bookmarkStart w:id="0" w:name="_GoBack"/>
      <w:bookmarkEnd w:id="0"/>
    </w:p>
    <w:p w:rsidR="000B0078" w:rsidRDefault="000B0078" w:rsidP="00B93030">
      <w:pPr>
        <w:autoSpaceDE w:val="0"/>
        <w:autoSpaceDN w:val="0"/>
        <w:adjustRightInd w:val="0"/>
        <w:spacing w:after="0" w:line="240" w:lineRule="auto"/>
        <w:rPr>
          <w:rFonts w:ascii="Times New Roman" w:hAnsi="Times New Roman" w:cs="Times New Roman"/>
        </w:rPr>
      </w:pPr>
    </w:p>
    <w:p w:rsidR="000B0078" w:rsidRDefault="000B0078" w:rsidP="00B93030">
      <w:pPr>
        <w:autoSpaceDE w:val="0"/>
        <w:autoSpaceDN w:val="0"/>
        <w:adjustRightInd w:val="0"/>
        <w:spacing w:after="0" w:line="240" w:lineRule="auto"/>
        <w:rPr>
          <w:rFonts w:ascii="Times New Roman" w:hAnsi="Times New Roman" w:cs="Times New Roman"/>
        </w:rPr>
      </w:pPr>
    </w:p>
    <w:p w:rsidR="000B0078" w:rsidRPr="00B93030" w:rsidRDefault="000B0078"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rPr>
        <w:lastRenderedPageBreak/>
        <w:t>Non-Article III Jurisdiction Cases</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u w:val="single"/>
        </w:rPr>
        <w:t>Northern Pipeline Constr. Co. v. Marathon Pipe Line Co.</w:t>
      </w:r>
      <w:r w:rsidRPr="00B93030">
        <w:rPr>
          <w:rFonts w:ascii="Times New Roman" w:hAnsi="Times New Roman" w:cs="Times New Roman"/>
        </w:rPr>
        <w:t xml:space="preserve">, 458 U.S. 50, 102 </w:t>
      </w:r>
      <w:proofErr w:type="spellStart"/>
      <w:r w:rsidRPr="00B93030">
        <w:rPr>
          <w:rFonts w:ascii="Times New Roman" w:hAnsi="Times New Roman" w:cs="Times New Roman"/>
        </w:rPr>
        <w:t>S.Ct</w:t>
      </w:r>
      <w:proofErr w:type="spellEnd"/>
      <w:r w:rsidRPr="00B93030">
        <w:rPr>
          <w:rFonts w:ascii="Times New Roman" w:hAnsi="Times New Roman" w:cs="Times New Roman"/>
        </w:rPr>
        <w:t xml:space="preserve">. 2858, 73 L.Ed.2d 598 (1982).  In addition to the important statutory changes made in response to </w:t>
      </w:r>
      <w:r w:rsidRPr="00B93030">
        <w:rPr>
          <w:rFonts w:ascii="Times New Roman" w:hAnsi="Times New Roman" w:cs="Times New Roman"/>
          <w:i/>
          <w:iCs/>
        </w:rPr>
        <w:t>Marathon</w:t>
      </w:r>
      <w:r w:rsidRPr="00B93030">
        <w:rPr>
          <w:rFonts w:ascii="Times New Roman" w:hAnsi="Times New Roman" w:cs="Times New Roman"/>
        </w:rPr>
        <w:t xml:space="preserve">, this decision set the boundaries of Bankruptcy Court authority.  Without the consent of the parties, Bankruptcy Courts can issue final judgments only on “core proceedings”.   For non-core related proceedings, a Bankruptcy Judge can only issue proposed findings of fact and conclusions of law, which are submitted to the District Court, which reviews them </w:t>
      </w:r>
      <w:r w:rsidRPr="00B93030">
        <w:rPr>
          <w:rFonts w:ascii="Times New Roman" w:hAnsi="Times New Roman" w:cs="Times New Roman"/>
          <w:i/>
          <w:iCs/>
        </w:rPr>
        <w:t>de novo</w:t>
      </w:r>
      <w:r w:rsidRPr="00B93030">
        <w:rPr>
          <w:rFonts w:ascii="Times New Roman" w:hAnsi="Times New Roman" w:cs="Times New Roman"/>
        </w:rPr>
        <w:t xml:space="preserve">. Much of </w:t>
      </w:r>
      <w:r w:rsidRPr="00B93030">
        <w:rPr>
          <w:rFonts w:ascii="Times New Roman" w:hAnsi="Times New Roman" w:cs="Times New Roman"/>
          <w:i/>
          <w:iCs/>
        </w:rPr>
        <w:t>Marathon</w:t>
      </w:r>
      <w:r w:rsidRPr="00B93030">
        <w:rPr>
          <w:rFonts w:ascii="Times New Roman" w:hAnsi="Times New Roman" w:cs="Times New Roman"/>
        </w:rPr>
        <w:t xml:space="preserve">’s holding appears to have been altered or superseded by later Supreme Court decisions like </w:t>
      </w:r>
      <w:r w:rsidRPr="00B93030">
        <w:rPr>
          <w:rFonts w:ascii="Times New Roman" w:hAnsi="Times New Roman" w:cs="Times New Roman"/>
          <w:i/>
          <w:iCs/>
        </w:rPr>
        <w:t>Stern</w:t>
      </w:r>
      <w:r w:rsidRPr="00B93030">
        <w:rPr>
          <w:rFonts w:ascii="Times New Roman" w:hAnsi="Times New Roman" w:cs="Times New Roman"/>
        </w:rPr>
        <w:t xml:space="preserve">, </w:t>
      </w:r>
      <w:proofErr w:type="spellStart"/>
      <w:r w:rsidRPr="00B93030">
        <w:rPr>
          <w:rFonts w:ascii="Times New Roman" w:hAnsi="Times New Roman" w:cs="Times New Roman"/>
          <w:i/>
          <w:iCs/>
        </w:rPr>
        <w:t>Arkison</w:t>
      </w:r>
      <w:proofErr w:type="spellEnd"/>
      <w:r w:rsidRPr="00B93030">
        <w:rPr>
          <w:rFonts w:ascii="Times New Roman" w:hAnsi="Times New Roman" w:cs="Times New Roman"/>
        </w:rPr>
        <w:t xml:space="preserve">, and </w:t>
      </w:r>
      <w:r w:rsidRPr="00B93030">
        <w:rPr>
          <w:rFonts w:ascii="Times New Roman" w:hAnsi="Times New Roman" w:cs="Times New Roman"/>
          <w:i/>
          <w:iCs/>
        </w:rPr>
        <w:t>Wellness</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rPr>
      </w:pPr>
      <w:r w:rsidRPr="00B93030">
        <w:rPr>
          <w:rFonts w:ascii="Times New Roman" w:hAnsi="Times New Roman" w:cs="Times New Roman"/>
          <w:b/>
          <w:bCs/>
          <w:u w:val="single"/>
        </w:rPr>
        <w:t xml:space="preserve">Exec. Benefits Ins. Agency v. </w:t>
      </w:r>
      <w:proofErr w:type="spellStart"/>
      <w:r w:rsidRPr="00B93030">
        <w:rPr>
          <w:rFonts w:ascii="Times New Roman" w:hAnsi="Times New Roman" w:cs="Times New Roman"/>
          <w:b/>
          <w:bCs/>
          <w:u w:val="single"/>
        </w:rPr>
        <w:t>Arkison</w:t>
      </w:r>
      <w:proofErr w:type="spellEnd"/>
      <w:r w:rsidRPr="00B93030">
        <w:rPr>
          <w:rFonts w:ascii="Times New Roman" w:hAnsi="Times New Roman" w:cs="Times New Roman"/>
        </w:rPr>
        <w:t xml:space="preserve">, ___ U.S. ___, 134 </w:t>
      </w:r>
      <w:proofErr w:type="spellStart"/>
      <w:r w:rsidRPr="00B93030">
        <w:rPr>
          <w:rFonts w:ascii="Times New Roman" w:hAnsi="Times New Roman" w:cs="Times New Roman"/>
        </w:rPr>
        <w:t>S.Ct</w:t>
      </w:r>
      <w:proofErr w:type="spellEnd"/>
      <w:r w:rsidRPr="00B93030">
        <w:rPr>
          <w:rFonts w:ascii="Times New Roman" w:hAnsi="Times New Roman" w:cs="Times New Roman"/>
        </w:rPr>
        <w:t xml:space="preserve">. 2165, 189 L.Ed.2d 83 (2014).  This case set forth the procedure under which bankruptcy courts are to render proposed findings of fact and conclusions of law with regards to </w:t>
      </w:r>
      <w:r w:rsidRPr="00B93030">
        <w:rPr>
          <w:rFonts w:ascii="Times New Roman" w:hAnsi="Times New Roman" w:cs="Times New Roman"/>
          <w:i/>
          <w:iCs/>
        </w:rPr>
        <w:t>Stern</w:t>
      </w:r>
      <w:r w:rsidRPr="00B93030">
        <w:rPr>
          <w:rFonts w:ascii="Times New Roman" w:hAnsi="Times New Roman" w:cs="Times New Roman"/>
        </w:rPr>
        <w:t xml:space="preserve"> claims that are then reviewed by the district court, even if said claims are “core” under the Bankruptcy Code. The holding in </w:t>
      </w:r>
      <w:r w:rsidRPr="00B93030">
        <w:rPr>
          <w:rFonts w:ascii="Times New Roman" w:hAnsi="Times New Roman" w:cs="Times New Roman"/>
          <w:i/>
          <w:iCs/>
        </w:rPr>
        <w:t>Wellness</w:t>
      </w:r>
      <w:r w:rsidRPr="00B93030">
        <w:rPr>
          <w:rFonts w:ascii="Times New Roman" w:hAnsi="Times New Roman" w:cs="Times New Roman"/>
        </w:rPr>
        <w:t xml:space="preserve"> suggests that the </w:t>
      </w:r>
      <w:proofErr w:type="spellStart"/>
      <w:r w:rsidRPr="00B93030">
        <w:rPr>
          <w:rFonts w:ascii="Times New Roman" w:hAnsi="Times New Roman" w:cs="Times New Roman"/>
          <w:i/>
          <w:iCs/>
        </w:rPr>
        <w:t>Arkison</w:t>
      </w:r>
      <w:proofErr w:type="spellEnd"/>
      <w:r w:rsidRPr="00B93030">
        <w:rPr>
          <w:rFonts w:ascii="Times New Roman" w:hAnsi="Times New Roman" w:cs="Times New Roman"/>
        </w:rPr>
        <w:t xml:space="preserve"> procedure ought </w:t>
      </w:r>
      <w:r w:rsidR="00DC68DE">
        <w:rPr>
          <w:rFonts w:ascii="Times New Roman" w:hAnsi="Times New Roman" w:cs="Times New Roman"/>
        </w:rPr>
        <w:t xml:space="preserve">to </w:t>
      </w:r>
      <w:r w:rsidRPr="00B93030">
        <w:rPr>
          <w:rFonts w:ascii="Times New Roman" w:hAnsi="Times New Roman" w:cs="Times New Roman"/>
        </w:rPr>
        <w:t xml:space="preserve">be used for </w:t>
      </w:r>
      <w:r w:rsidRPr="00B93030">
        <w:rPr>
          <w:rFonts w:ascii="Times New Roman" w:hAnsi="Times New Roman" w:cs="Times New Roman"/>
          <w:i/>
          <w:iCs/>
        </w:rPr>
        <w:t xml:space="preserve">Stern </w:t>
      </w:r>
      <w:r w:rsidRPr="00B93030">
        <w:rPr>
          <w:rFonts w:ascii="Times New Roman" w:hAnsi="Times New Roman" w:cs="Times New Roman"/>
        </w:rPr>
        <w:t>claims where parties have not consented to entry of final judgment by the bankruptcy court.</w:t>
      </w:r>
    </w:p>
    <w:p w:rsidR="00B93030" w:rsidRPr="00B93030" w:rsidRDefault="00B93030" w:rsidP="00B93030">
      <w:pPr>
        <w:autoSpaceDE w:val="0"/>
        <w:autoSpaceDN w:val="0"/>
        <w:adjustRightInd w:val="0"/>
        <w:spacing w:after="0" w:line="240" w:lineRule="auto"/>
        <w:rPr>
          <w:rFonts w:ascii="Times New Roman" w:hAnsi="Times New Roman" w:cs="Times New Roman"/>
        </w:rPr>
      </w:pPr>
    </w:p>
    <w:p w:rsidR="00B93030" w:rsidRPr="00B93030" w:rsidRDefault="00B93030" w:rsidP="00B93030">
      <w:pPr>
        <w:autoSpaceDE w:val="0"/>
        <w:autoSpaceDN w:val="0"/>
        <w:adjustRightInd w:val="0"/>
        <w:spacing w:after="0" w:line="240" w:lineRule="auto"/>
        <w:rPr>
          <w:rFonts w:ascii="Times New Roman" w:hAnsi="Times New Roman" w:cs="Times New Roman"/>
          <w:sz w:val="24"/>
          <w:szCs w:val="24"/>
        </w:rPr>
      </w:pPr>
      <w:r w:rsidRPr="00B93030">
        <w:rPr>
          <w:rFonts w:ascii="Times New Roman" w:hAnsi="Times New Roman" w:cs="Times New Roman"/>
          <w:b/>
          <w:bCs/>
          <w:u w:val="single"/>
        </w:rPr>
        <w:t>Wellness Intern. Network, Ltd. v. Sharif</w:t>
      </w:r>
      <w:r w:rsidRPr="00B93030">
        <w:rPr>
          <w:rFonts w:ascii="Times New Roman" w:hAnsi="Times New Roman" w:cs="Times New Roman"/>
        </w:rPr>
        <w:t xml:space="preserve">, ___U.S.___, 135 </w:t>
      </w:r>
      <w:proofErr w:type="spellStart"/>
      <w:r w:rsidRPr="00B93030">
        <w:rPr>
          <w:rFonts w:ascii="Times New Roman" w:hAnsi="Times New Roman" w:cs="Times New Roman"/>
        </w:rPr>
        <w:t>S.Ct</w:t>
      </w:r>
      <w:proofErr w:type="spellEnd"/>
      <w:r w:rsidRPr="00B93030">
        <w:rPr>
          <w:rFonts w:ascii="Times New Roman" w:hAnsi="Times New Roman" w:cs="Times New Roman"/>
        </w:rPr>
        <w:t xml:space="preserve">. 1932, 191 L.Ed.2d 1932 (2015).  Held that a bankruptcy court may constitutionally enter final judgment on a </w:t>
      </w:r>
      <w:r w:rsidRPr="00B93030">
        <w:rPr>
          <w:rFonts w:ascii="Times New Roman" w:hAnsi="Times New Roman" w:cs="Times New Roman"/>
          <w:i/>
          <w:iCs/>
        </w:rPr>
        <w:t>Stern</w:t>
      </w:r>
      <w:r w:rsidRPr="00B93030">
        <w:rPr>
          <w:rFonts w:ascii="Times New Roman" w:hAnsi="Times New Roman" w:cs="Times New Roman"/>
        </w:rPr>
        <w:t xml:space="preserve"> claim with the express or implied consent of the parties. This case, along with </w:t>
      </w:r>
      <w:proofErr w:type="spellStart"/>
      <w:r w:rsidRPr="00B93030">
        <w:rPr>
          <w:rFonts w:ascii="Times New Roman" w:hAnsi="Times New Roman" w:cs="Times New Roman"/>
          <w:i/>
          <w:iCs/>
        </w:rPr>
        <w:t>Arkison</w:t>
      </w:r>
      <w:proofErr w:type="spellEnd"/>
      <w:r w:rsidRPr="00B93030">
        <w:rPr>
          <w:rFonts w:ascii="Times New Roman" w:hAnsi="Times New Roman" w:cs="Times New Roman"/>
        </w:rPr>
        <w:t>, appears to resolve many of the issues raised by the holding of</w:t>
      </w:r>
      <w:r w:rsidRPr="00B93030">
        <w:rPr>
          <w:rFonts w:ascii="Times New Roman" w:hAnsi="Times New Roman" w:cs="Times New Roman"/>
          <w:i/>
          <w:iCs/>
        </w:rPr>
        <w:t xml:space="preserve"> </w:t>
      </w:r>
      <w:r w:rsidRPr="00B93030">
        <w:rPr>
          <w:rFonts w:ascii="Times New Roman" w:hAnsi="Times New Roman" w:cs="Times New Roman"/>
          <w:b/>
          <w:bCs/>
          <w:u w:val="single"/>
        </w:rPr>
        <w:t>Stern v. Marshall</w:t>
      </w:r>
      <w:r w:rsidRPr="00B93030">
        <w:rPr>
          <w:rFonts w:ascii="Times New Roman" w:hAnsi="Times New Roman" w:cs="Times New Roman"/>
        </w:rPr>
        <w:t xml:space="preserve">, 564 U.S. 462, 131 </w:t>
      </w:r>
      <w:proofErr w:type="spellStart"/>
      <w:r w:rsidRPr="00B93030">
        <w:rPr>
          <w:rFonts w:ascii="Times New Roman" w:hAnsi="Times New Roman" w:cs="Times New Roman"/>
        </w:rPr>
        <w:t>S.Ct</w:t>
      </w:r>
      <w:proofErr w:type="spellEnd"/>
      <w:r w:rsidRPr="00B93030">
        <w:rPr>
          <w:rFonts w:ascii="Times New Roman" w:hAnsi="Times New Roman" w:cs="Times New Roman"/>
        </w:rPr>
        <w:t xml:space="preserve">. 2594, 180 L.Ed.2d 475 (2011). </w:t>
      </w:r>
    </w:p>
    <w:p w:rsidR="00B93030" w:rsidRPr="00B93030" w:rsidRDefault="00B93030" w:rsidP="00B93030">
      <w:pPr>
        <w:autoSpaceDE w:val="0"/>
        <w:autoSpaceDN w:val="0"/>
        <w:adjustRightInd w:val="0"/>
        <w:spacing w:after="0" w:line="240" w:lineRule="auto"/>
        <w:rPr>
          <w:rFonts w:ascii="Times New Roman" w:hAnsi="Times New Roman" w:cs="Times New Roman"/>
          <w:sz w:val="24"/>
          <w:szCs w:val="24"/>
        </w:rPr>
      </w:pPr>
    </w:p>
    <w:p w:rsidR="0005065E" w:rsidRDefault="0005065E"/>
    <w:sectPr w:rsidR="0005065E" w:rsidSect="00B93030">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30"/>
    <w:rsid w:val="0005065E"/>
    <w:rsid w:val="000B0078"/>
    <w:rsid w:val="00B93030"/>
    <w:rsid w:val="00DC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519A"/>
  <w15:chartTrackingRefBased/>
  <w15:docId w15:val="{8EE4262A-885C-4B5F-8B03-2FCE3723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9D481098.dotm</Template>
  <TotalTime>4</TotalTime>
  <Pages>4</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Gustafson</dc:creator>
  <cp:keywords/>
  <dc:description/>
  <cp:lastModifiedBy>John Gustafson</cp:lastModifiedBy>
  <cp:revision>3</cp:revision>
  <dcterms:created xsi:type="dcterms:W3CDTF">2018-09-21T16:01:00Z</dcterms:created>
  <dcterms:modified xsi:type="dcterms:W3CDTF">2018-10-26T18:49:00Z</dcterms:modified>
</cp:coreProperties>
</file>