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14A0" w14:textId="5F791C64" w:rsidR="00EC5673" w:rsidRPr="00015802" w:rsidRDefault="00EC5673" w:rsidP="00015802">
      <w:pPr>
        <w:spacing w:after="0" w:line="240" w:lineRule="auto"/>
        <w:jc w:val="center"/>
        <w:rPr>
          <w:rFonts w:ascii="Times New Roman" w:hAnsi="Times New Roman" w:cs="Times New Roman"/>
          <w:b/>
          <w:bCs/>
          <w:sz w:val="28"/>
          <w:szCs w:val="28"/>
        </w:rPr>
      </w:pPr>
      <w:r w:rsidRPr="00015802">
        <w:rPr>
          <w:rFonts w:ascii="Times New Roman" w:hAnsi="Times New Roman" w:cs="Times New Roman"/>
          <w:b/>
          <w:bCs/>
          <w:sz w:val="28"/>
          <w:szCs w:val="28"/>
        </w:rPr>
        <w:t>Alabama Bankruptcy and Commercial Law Section</w:t>
      </w:r>
    </w:p>
    <w:p w14:paraId="2F21AC52" w14:textId="62D5D853" w:rsidR="005777E9" w:rsidRPr="00015802" w:rsidRDefault="00EC5673" w:rsidP="00015802">
      <w:pPr>
        <w:spacing w:after="0" w:line="240" w:lineRule="auto"/>
        <w:jc w:val="center"/>
        <w:rPr>
          <w:rFonts w:ascii="Times New Roman" w:hAnsi="Times New Roman" w:cs="Times New Roman"/>
          <w:b/>
          <w:bCs/>
          <w:sz w:val="28"/>
          <w:szCs w:val="28"/>
        </w:rPr>
      </w:pPr>
      <w:r w:rsidRPr="00015802">
        <w:rPr>
          <w:rFonts w:ascii="Times New Roman" w:hAnsi="Times New Roman" w:cs="Times New Roman"/>
          <w:b/>
          <w:bCs/>
          <w:sz w:val="28"/>
          <w:szCs w:val="28"/>
        </w:rPr>
        <w:t>Bankruptcy at the Beach</w:t>
      </w:r>
      <w:r w:rsidR="005777E9" w:rsidRPr="00015802">
        <w:rPr>
          <w:rFonts w:ascii="Times New Roman" w:hAnsi="Times New Roman" w:cs="Times New Roman"/>
          <w:b/>
          <w:bCs/>
          <w:sz w:val="28"/>
          <w:szCs w:val="28"/>
        </w:rPr>
        <w:t xml:space="preserve"> 202</w:t>
      </w:r>
      <w:r w:rsidRPr="00015802">
        <w:rPr>
          <w:rFonts w:ascii="Times New Roman" w:hAnsi="Times New Roman" w:cs="Times New Roman"/>
          <w:b/>
          <w:bCs/>
          <w:sz w:val="28"/>
          <w:szCs w:val="28"/>
        </w:rPr>
        <w:t>3</w:t>
      </w:r>
    </w:p>
    <w:p w14:paraId="40D8CA62" w14:textId="3066ACD7" w:rsidR="009B713C" w:rsidRPr="00015802" w:rsidRDefault="009B713C" w:rsidP="00015802">
      <w:pPr>
        <w:spacing w:after="0" w:line="240" w:lineRule="auto"/>
        <w:jc w:val="center"/>
        <w:rPr>
          <w:rFonts w:ascii="Times New Roman" w:hAnsi="Times New Roman" w:cs="Times New Roman"/>
          <w:b/>
          <w:bCs/>
          <w:sz w:val="28"/>
          <w:szCs w:val="28"/>
        </w:rPr>
      </w:pPr>
      <w:r w:rsidRPr="00015802">
        <w:rPr>
          <w:rFonts w:ascii="Times New Roman" w:hAnsi="Times New Roman" w:cs="Times New Roman"/>
          <w:b/>
          <w:bCs/>
          <w:sz w:val="28"/>
          <w:szCs w:val="28"/>
        </w:rPr>
        <w:t>Commercial Bankruptcy Panel</w:t>
      </w:r>
    </w:p>
    <w:p w14:paraId="68E86839" w14:textId="61BFA6B4" w:rsidR="004E758E" w:rsidRPr="00015802" w:rsidRDefault="00EC5673" w:rsidP="00015802">
      <w:pPr>
        <w:spacing w:after="0" w:line="240" w:lineRule="auto"/>
        <w:jc w:val="center"/>
        <w:rPr>
          <w:rFonts w:ascii="Times New Roman" w:hAnsi="Times New Roman" w:cs="Times New Roman"/>
          <w:b/>
          <w:bCs/>
          <w:sz w:val="28"/>
          <w:szCs w:val="28"/>
        </w:rPr>
      </w:pPr>
      <w:r w:rsidRPr="00015802">
        <w:rPr>
          <w:rFonts w:ascii="Times New Roman" w:hAnsi="Times New Roman" w:cs="Times New Roman"/>
          <w:b/>
          <w:bCs/>
          <w:sz w:val="28"/>
          <w:szCs w:val="28"/>
        </w:rPr>
        <w:t>The Texas Two</w:t>
      </w:r>
      <w:r w:rsidR="00DB0107">
        <w:rPr>
          <w:rFonts w:ascii="Times New Roman" w:hAnsi="Times New Roman" w:cs="Times New Roman"/>
          <w:b/>
          <w:bCs/>
          <w:sz w:val="28"/>
          <w:szCs w:val="28"/>
        </w:rPr>
        <w:t>-</w:t>
      </w:r>
      <w:r w:rsidRPr="00015802">
        <w:rPr>
          <w:rFonts w:ascii="Times New Roman" w:hAnsi="Times New Roman" w:cs="Times New Roman"/>
          <w:b/>
          <w:bCs/>
          <w:sz w:val="28"/>
          <w:szCs w:val="28"/>
        </w:rPr>
        <w:t>Step and</w:t>
      </w:r>
      <w:r w:rsidR="001648CD" w:rsidRPr="00015802">
        <w:rPr>
          <w:rFonts w:ascii="Times New Roman" w:hAnsi="Times New Roman" w:cs="Times New Roman"/>
          <w:b/>
          <w:bCs/>
          <w:sz w:val="28"/>
          <w:szCs w:val="28"/>
        </w:rPr>
        <w:t xml:space="preserve"> </w:t>
      </w:r>
      <w:r w:rsidRPr="00015802">
        <w:rPr>
          <w:rFonts w:ascii="Times New Roman" w:hAnsi="Times New Roman" w:cs="Times New Roman"/>
          <w:b/>
          <w:bCs/>
          <w:sz w:val="28"/>
          <w:szCs w:val="28"/>
        </w:rPr>
        <w:t>LTL M</w:t>
      </w:r>
      <w:r w:rsidR="007203ED">
        <w:rPr>
          <w:rFonts w:ascii="Times New Roman" w:hAnsi="Times New Roman" w:cs="Times New Roman"/>
          <w:b/>
          <w:bCs/>
          <w:sz w:val="28"/>
          <w:szCs w:val="28"/>
        </w:rPr>
        <w:t>anagement</w:t>
      </w:r>
      <w:r w:rsidRPr="00015802">
        <w:rPr>
          <w:rFonts w:ascii="Times New Roman" w:hAnsi="Times New Roman" w:cs="Times New Roman"/>
          <w:b/>
          <w:bCs/>
          <w:sz w:val="28"/>
          <w:szCs w:val="28"/>
        </w:rPr>
        <w:t xml:space="preserve"> LLC</w:t>
      </w:r>
      <w:r w:rsidR="001648CD" w:rsidRPr="00015802">
        <w:rPr>
          <w:rFonts w:ascii="Times New Roman" w:hAnsi="Times New Roman" w:cs="Times New Roman"/>
          <w:b/>
          <w:bCs/>
          <w:sz w:val="28"/>
          <w:szCs w:val="28"/>
        </w:rPr>
        <w:t>’s Chapter 22</w:t>
      </w:r>
    </w:p>
    <w:p w14:paraId="5DE6D25F" w14:textId="77777777" w:rsidR="009B713C" w:rsidRPr="00015802" w:rsidRDefault="009B713C" w:rsidP="00015802">
      <w:pPr>
        <w:spacing w:after="0" w:line="240" w:lineRule="auto"/>
        <w:jc w:val="center"/>
        <w:rPr>
          <w:rFonts w:ascii="Times New Roman" w:hAnsi="Times New Roman" w:cs="Times New Roman"/>
          <w:b/>
          <w:bCs/>
          <w:sz w:val="24"/>
          <w:szCs w:val="24"/>
        </w:rPr>
      </w:pPr>
    </w:p>
    <w:p w14:paraId="293474B1" w14:textId="4F436177" w:rsidR="005777E9" w:rsidRPr="00015802" w:rsidRDefault="005777E9" w:rsidP="00015802">
      <w:pPr>
        <w:spacing w:after="0" w:line="240" w:lineRule="auto"/>
        <w:jc w:val="center"/>
        <w:rPr>
          <w:rFonts w:ascii="Times New Roman" w:hAnsi="Times New Roman" w:cs="Times New Roman"/>
          <w:sz w:val="24"/>
          <w:szCs w:val="24"/>
        </w:rPr>
      </w:pPr>
      <w:r w:rsidRPr="00015802">
        <w:rPr>
          <w:rFonts w:ascii="Times New Roman" w:hAnsi="Times New Roman" w:cs="Times New Roman"/>
          <w:sz w:val="24"/>
          <w:szCs w:val="24"/>
        </w:rPr>
        <w:t xml:space="preserve">By: </w:t>
      </w:r>
      <w:r w:rsidR="008D5EB2" w:rsidRPr="00015802">
        <w:rPr>
          <w:rFonts w:ascii="Times New Roman" w:hAnsi="Times New Roman" w:cs="Times New Roman"/>
          <w:sz w:val="24"/>
          <w:szCs w:val="24"/>
        </w:rPr>
        <w:t>Chris</w:t>
      </w:r>
      <w:r w:rsidRPr="00015802">
        <w:rPr>
          <w:rFonts w:ascii="Times New Roman" w:hAnsi="Times New Roman" w:cs="Times New Roman"/>
          <w:sz w:val="24"/>
          <w:szCs w:val="24"/>
        </w:rPr>
        <w:t>topher</w:t>
      </w:r>
      <w:r w:rsidR="008D5EB2" w:rsidRPr="00015802">
        <w:rPr>
          <w:rFonts w:ascii="Times New Roman" w:hAnsi="Times New Roman" w:cs="Times New Roman"/>
          <w:sz w:val="24"/>
          <w:szCs w:val="24"/>
        </w:rPr>
        <w:t xml:space="preserve"> Hawkins</w:t>
      </w:r>
      <w:r w:rsidR="009B713C" w:rsidRPr="00015802">
        <w:rPr>
          <w:rFonts w:ascii="Times New Roman" w:hAnsi="Times New Roman" w:cs="Times New Roman"/>
          <w:sz w:val="24"/>
          <w:szCs w:val="24"/>
        </w:rPr>
        <w:t xml:space="preserve">, </w:t>
      </w:r>
      <w:r w:rsidRPr="00015802">
        <w:rPr>
          <w:rFonts w:ascii="Times New Roman" w:hAnsi="Times New Roman" w:cs="Times New Roman"/>
          <w:sz w:val="24"/>
          <w:szCs w:val="24"/>
        </w:rPr>
        <w:t>Bankruptcy Judge</w:t>
      </w:r>
    </w:p>
    <w:p w14:paraId="7DABE36E" w14:textId="0C35D220" w:rsidR="005777E9" w:rsidRPr="00015802" w:rsidRDefault="005777E9" w:rsidP="00015802">
      <w:pPr>
        <w:spacing w:after="0" w:line="240" w:lineRule="auto"/>
        <w:jc w:val="center"/>
        <w:rPr>
          <w:rFonts w:ascii="Times New Roman" w:hAnsi="Times New Roman" w:cs="Times New Roman"/>
          <w:sz w:val="24"/>
          <w:szCs w:val="24"/>
        </w:rPr>
      </w:pPr>
      <w:r w:rsidRPr="00015802">
        <w:rPr>
          <w:rFonts w:ascii="Times New Roman" w:hAnsi="Times New Roman" w:cs="Times New Roman"/>
          <w:sz w:val="24"/>
          <w:szCs w:val="24"/>
        </w:rPr>
        <w:t>United States Bankruptcy Court</w:t>
      </w:r>
    </w:p>
    <w:p w14:paraId="07CACFB3" w14:textId="19137698" w:rsidR="005777E9" w:rsidRDefault="005777E9" w:rsidP="00015802">
      <w:pPr>
        <w:spacing w:after="0" w:line="240" w:lineRule="auto"/>
        <w:jc w:val="center"/>
        <w:rPr>
          <w:rFonts w:ascii="Times New Roman" w:hAnsi="Times New Roman" w:cs="Times New Roman"/>
          <w:sz w:val="24"/>
          <w:szCs w:val="24"/>
        </w:rPr>
      </w:pPr>
      <w:r w:rsidRPr="00015802">
        <w:rPr>
          <w:rFonts w:ascii="Times New Roman" w:hAnsi="Times New Roman" w:cs="Times New Roman"/>
          <w:sz w:val="24"/>
          <w:szCs w:val="24"/>
        </w:rPr>
        <w:t>Middle District of Alabama</w:t>
      </w:r>
    </w:p>
    <w:p w14:paraId="1AB9667C" w14:textId="77777777" w:rsidR="008D5251" w:rsidRPr="00015802" w:rsidRDefault="008D5251" w:rsidP="00015802">
      <w:pPr>
        <w:spacing w:after="0" w:line="240" w:lineRule="auto"/>
        <w:jc w:val="center"/>
        <w:rPr>
          <w:rFonts w:ascii="Times New Roman" w:hAnsi="Times New Roman" w:cs="Times New Roman"/>
          <w:sz w:val="24"/>
          <w:szCs w:val="24"/>
        </w:rPr>
      </w:pPr>
    </w:p>
    <w:p w14:paraId="10C0DEC2" w14:textId="4EA455D5" w:rsidR="00685523" w:rsidRPr="00015802" w:rsidRDefault="00685523" w:rsidP="00015802">
      <w:pPr>
        <w:spacing w:after="0" w:line="480" w:lineRule="auto"/>
        <w:jc w:val="both"/>
        <w:rPr>
          <w:rFonts w:ascii="Times New Roman" w:hAnsi="Times New Roman" w:cs="Times New Roman"/>
          <w:b/>
          <w:bCs/>
          <w:sz w:val="24"/>
          <w:szCs w:val="24"/>
        </w:rPr>
      </w:pPr>
      <w:r w:rsidRPr="00015802">
        <w:rPr>
          <w:rFonts w:ascii="Times New Roman" w:hAnsi="Times New Roman" w:cs="Times New Roman"/>
          <w:b/>
          <w:bCs/>
          <w:sz w:val="24"/>
          <w:szCs w:val="24"/>
        </w:rPr>
        <w:t>Introduction</w:t>
      </w:r>
    </w:p>
    <w:p w14:paraId="58E7CD36" w14:textId="47FA79F8" w:rsidR="00685523" w:rsidRPr="00015802" w:rsidRDefault="00E9634A" w:rsidP="00015802">
      <w:pPr>
        <w:spacing w:after="0" w:line="480" w:lineRule="auto"/>
        <w:ind w:firstLine="720"/>
        <w:jc w:val="both"/>
        <w:rPr>
          <w:rFonts w:ascii="Times New Roman" w:hAnsi="Times New Roman" w:cs="Times New Roman"/>
          <w:b/>
          <w:bCs/>
          <w:sz w:val="24"/>
          <w:szCs w:val="24"/>
        </w:rPr>
      </w:pPr>
      <w:r>
        <w:rPr>
          <w:rFonts w:ascii="Times New Roman" w:hAnsi="Times New Roman" w:cs="Times New Roman"/>
          <w:color w:val="333333"/>
          <w:sz w:val="24"/>
          <w:szCs w:val="24"/>
        </w:rPr>
        <w:t>The</w:t>
      </w:r>
      <w:r w:rsidR="00685523" w:rsidRPr="00015802">
        <w:rPr>
          <w:rFonts w:ascii="Times New Roman" w:hAnsi="Times New Roman" w:cs="Times New Roman"/>
          <w:color w:val="333333"/>
          <w:sz w:val="24"/>
          <w:szCs w:val="24"/>
        </w:rPr>
        <w:t xml:space="preserve"> Constitution authorizes Congress to enact "uniform Laws on the subject of Bankruptcies."</w:t>
      </w:r>
      <w:r w:rsidRPr="00E9634A">
        <w:rPr>
          <w:rFonts w:ascii="Verdana" w:hAnsi="Verdana"/>
          <w:color w:val="333333"/>
          <w:shd w:val="clear" w:color="auto" w:fill="FFFFFF"/>
        </w:rPr>
        <w:t xml:space="preserve"> </w:t>
      </w:r>
      <w:r w:rsidRPr="00E9634A">
        <w:rPr>
          <w:rFonts w:ascii="Times New Roman" w:hAnsi="Times New Roman" w:cs="Times New Roman"/>
          <w:color w:val="333333"/>
          <w:sz w:val="24"/>
          <w:szCs w:val="24"/>
          <w:shd w:val="clear" w:color="auto" w:fill="FFFFFF"/>
        </w:rPr>
        <w:t xml:space="preserve">U.S. Const. art. I, § </w:t>
      </w:r>
      <w:r w:rsidRPr="00E9634A">
        <w:rPr>
          <w:rFonts w:ascii="Times New Roman" w:hAnsi="Times New Roman" w:cs="Times New Roman"/>
          <w:color w:val="333333"/>
          <w:sz w:val="24"/>
          <w:szCs w:val="24"/>
          <w:shd w:val="clear" w:color="auto" w:fill="FFFFFF"/>
        </w:rPr>
        <w:t>8.</w:t>
      </w:r>
      <w:r w:rsidR="00720C67" w:rsidRPr="00015802">
        <w:rPr>
          <w:rFonts w:ascii="Times New Roman" w:hAnsi="Times New Roman" w:cs="Times New Roman"/>
          <w:color w:val="333333"/>
          <w:sz w:val="24"/>
          <w:szCs w:val="24"/>
        </w:rPr>
        <w:t xml:space="preserve">  </w:t>
      </w:r>
      <w:r w:rsidR="009A749D">
        <w:rPr>
          <w:rFonts w:ascii="Times New Roman" w:hAnsi="Times New Roman" w:cs="Times New Roman"/>
          <w:color w:val="333333"/>
          <w:sz w:val="24"/>
          <w:szCs w:val="24"/>
        </w:rPr>
        <w:t>N</w:t>
      </w:r>
      <w:r w:rsidR="00720C67" w:rsidRPr="00015802">
        <w:rPr>
          <w:rFonts w:ascii="Times New Roman" w:hAnsi="Times New Roman" w:cs="Times New Roman"/>
          <w:color w:val="333333"/>
          <w:sz w:val="24"/>
          <w:szCs w:val="24"/>
        </w:rPr>
        <w:t xml:space="preserve">otwithstanding the framework of the Bankruptcy Code, variations in </w:t>
      </w:r>
      <w:r w:rsidR="006D656B">
        <w:rPr>
          <w:rFonts w:ascii="Times New Roman" w:hAnsi="Times New Roman" w:cs="Times New Roman"/>
          <w:color w:val="333333"/>
          <w:sz w:val="24"/>
          <w:szCs w:val="24"/>
        </w:rPr>
        <w:t xml:space="preserve">applicable </w:t>
      </w:r>
      <w:proofErr w:type="spellStart"/>
      <w:r w:rsidR="00720C67" w:rsidRPr="00015802">
        <w:rPr>
          <w:rFonts w:ascii="Times New Roman" w:hAnsi="Times New Roman" w:cs="Times New Roman"/>
          <w:color w:val="333333"/>
          <w:sz w:val="24"/>
          <w:szCs w:val="24"/>
        </w:rPr>
        <w:t>nonbankruptcy</w:t>
      </w:r>
      <w:proofErr w:type="spellEnd"/>
      <w:r w:rsidR="00720C67" w:rsidRPr="00015802">
        <w:rPr>
          <w:rFonts w:ascii="Times New Roman" w:hAnsi="Times New Roman" w:cs="Times New Roman"/>
          <w:color w:val="333333"/>
          <w:sz w:val="24"/>
          <w:szCs w:val="24"/>
        </w:rPr>
        <w:t xml:space="preserve"> law </w:t>
      </w:r>
      <w:r w:rsidR="006D656B">
        <w:rPr>
          <w:rFonts w:ascii="Times New Roman" w:hAnsi="Times New Roman" w:cs="Times New Roman"/>
          <w:color w:val="333333"/>
          <w:sz w:val="24"/>
          <w:szCs w:val="24"/>
        </w:rPr>
        <w:t xml:space="preserve">and </w:t>
      </w:r>
      <w:r w:rsidR="00720C67" w:rsidRPr="00015802">
        <w:rPr>
          <w:rFonts w:ascii="Times New Roman" w:hAnsi="Times New Roman" w:cs="Times New Roman"/>
          <w:color w:val="333333"/>
          <w:sz w:val="24"/>
          <w:szCs w:val="24"/>
        </w:rPr>
        <w:t>differ</w:t>
      </w:r>
      <w:r w:rsidR="009A749D">
        <w:rPr>
          <w:rFonts w:ascii="Times New Roman" w:hAnsi="Times New Roman" w:cs="Times New Roman"/>
          <w:color w:val="333333"/>
          <w:sz w:val="24"/>
          <w:szCs w:val="24"/>
        </w:rPr>
        <w:t xml:space="preserve">ing </w:t>
      </w:r>
      <w:r w:rsidR="00720C67" w:rsidRPr="00015802">
        <w:rPr>
          <w:rFonts w:ascii="Times New Roman" w:hAnsi="Times New Roman" w:cs="Times New Roman"/>
          <w:color w:val="333333"/>
          <w:sz w:val="24"/>
          <w:szCs w:val="24"/>
        </w:rPr>
        <w:t xml:space="preserve">judicial interpretations </w:t>
      </w:r>
      <w:r w:rsidR="009A749D">
        <w:rPr>
          <w:rFonts w:ascii="Times New Roman" w:hAnsi="Times New Roman" w:cs="Times New Roman"/>
          <w:color w:val="333333"/>
          <w:sz w:val="24"/>
          <w:szCs w:val="24"/>
        </w:rPr>
        <w:t>h</w:t>
      </w:r>
      <w:r w:rsidR="00720C67" w:rsidRPr="00015802">
        <w:rPr>
          <w:rFonts w:ascii="Times New Roman" w:hAnsi="Times New Roman" w:cs="Times New Roman"/>
          <w:color w:val="333333"/>
          <w:sz w:val="24"/>
          <w:szCs w:val="24"/>
        </w:rPr>
        <w:t xml:space="preserve">ave chipped away at the constitutional goal of uniformity.  </w:t>
      </w:r>
      <w:r w:rsidR="009A749D">
        <w:rPr>
          <w:rFonts w:ascii="Times New Roman" w:hAnsi="Times New Roman" w:cs="Times New Roman"/>
          <w:color w:val="333333"/>
          <w:sz w:val="24"/>
          <w:szCs w:val="24"/>
        </w:rPr>
        <w:t>R</w:t>
      </w:r>
      <w:r w:rsidR="005E491A" w:rsidRPr="00015802">
        <w:rPr>
          <w:rFonts w:ascii="Times New Roman" w:hAnsi="Times New Roman" w:cs="Times New Roman"/>
          <w:color w:val="333333"/>
          <w:sz w:val="24"/>
          <w:szCs w:val="24"/>
        </w:rPr>
        <w:t xml:space="preserve">esourceful </w:t>
      </w:r>
      <w:r w:rsidR="00F569AC" w:rsidRPr="00015802">
        <w:rPr>
          <w:rFonts w:ascii="Times New Roman" w:hAnsi="Times New Roman" w:cs="Times New Roman"/>
          <w:color w:val="333333"/>
          <w:sz w:val="24"/>
          <w:szCs w:val="24"/>
        </w:rPr>
        <w:t xml:space="preserve">lawyers often are the ones holding the chisels, seeking </w:t>
      </w:r>
      <w:r w:rsidR="003268E9">
        <w:rPr>
          <w:rFonts w:ascii="Times New Roman" w:hAnsi="Times New Roman" w:cs="Times New Roman"/>
          <w:color w:val="333333"/>
          <w:sz w:val="24"/>
          <w:szCs w:val="24"/>
        </w:rPr>
        <w:t xml:space="preserve">out </w:t>
      </w:r>
      <w:r w:rsidR="005E491A" w:rsidRPr="00015802">
        <w:rPr>
          <w:rFonts w:ascii="Times New Roman" w:hAnsi="Times New Roman" w:cs="Times New Roman"/>
          <w:color w:val="333333"/>
          <w:sz w:val="24"/>
          <w:szCs w:val="24"/>
        </w:rPr>
        <w:t xml:space="preserve">strategic advantage for their clients </w:t>
      </w:r>
      <w:r w:rsidR="003268E9">
        <w:rPr>
          <w:rFonts w:ascii="Times New Roman" w:hAnsi="Times New Roman" w:cs="Times New Roman"/>
          <w:color w:val="333333"/>
          <w:sz w:val="24"/>
          <w:szCs w:val="24"/>
        </w:rPr>
        <w:t>from every possible angle</w:t>
      </w:r>
      <w:r w:rsidR="005E491A" w:rsidRPr="00015802">
        <w:rPr>
          <w:rFonts w:ascii="Times New Roman" w:hAnsi="Times New Roman" w:cs="Times New Roman"/>
          <w:color w:val="333333"/>
          <w:sz w:val="24"/>
          <w:szCs w:val="24"/>
        </w:rPr>
        <w:t xml:space="preserve">.  While the lawyer’s job is to advocate zealously on behalf of the client, bankruptcy courts </w:t>
      </w:r>
      <w:r w:rsidR="008E5B54">
        <w:rPr>
          <w:rFonts w:ascii="Times New Roman" w:hAnsi="Times New Roman" w:cs="Times New Roman"/>
          <w:color w:val="333333"/>
          <w:sz w:val="24"/>
          <w:szCs w:val="24"/>
        </w:rPr>
        <w:t xml:space="preserve">often are asked to </w:t>
      </w:r>
      <w:r w:rsidR="005E491A" w:rsidRPr="00015802">
        <w:rPr>
          <w:rFonts w:ascii="Times New Roman" w:hAnsi="Times New Roman" w:cs="Times New Roman"/>
          <w:color w:val="333333"/>
          <w:sz w:val="24"/>
          <w:szCs w:val="24"/>
        </w:rPr>
        <w:t xml:space="preserve">draw the line between creativity and </w:t>
      </w:r>
      <w:r w:rsidR="00E5293E">
        <w:rPr>
          <w:rFonts w:ascii="Times New Roman" w:hAnsi="Times New Roman" w:cs="Times New Roman"/>
          <w:color w:val="333333"/>
          <w:sz w:val="24"/>
          <w:szCs w:val="24"/>
        </w:rPr>
        <w:t>overreach</w:t>
      </w:r>
      <w:r w:rsidR="005E491A" w:rsidRPr="00015802">
        <w:rPr>
          <w:rFonts w:ascii="Times New Roman" w:hAnsi="Times New Roman" w:cs="Times New Roman"/>
          <w:color w:val="333333"/>
          <w:sz w:val="24"/>
          <w:szCs w:val="24"/>
        </w:rPr>
        <w:t xml:space="preserve">.  Courts on multiple levels in </w:t>
      </w:r>
      <w:r w:rsidR="001648CD" w:rsidRPr="00015802">
        <w:rPr>
          <w:rFonts w:ascii="Times New Roman" w:hAnsi="Times New Roman" w:cs="Times New Roman"/>
          <w:color w:val="333333"/>
          <w:sz w:val="24"/>
          <w:szCs w:val="24"/>
        </w:rPr>
        <w:t xml:space="preserve">multiple </w:t>
      </w:r>
      <w:r w:rsidR="005E491A" w:rsidRPr="00015802">
        <w:rPr>
          <w:rFonts w:ascii="Times New Roman" w:hAnsi="Times New Roman" w:cs="Times New Roman"/>
          <w:color w:val="333333"/>
          <w:sz w:val="24"/>
          <w:szCs w:val="24"/>
        </w:rPr>
        <w:t>jurisdictions</w:t>
      </w:r>
      <w:r w:rsidR="001648CD" w:rsidRPr="00015802">
        <w:rPr>
          <w:rFonts w:ascii="Times New Roman" w:hAnsi="Times New Roman" w:cs="Times New Roman"/>
          <w:color w:val="333333"/>
          <w:sz w:val="24"/>
          <w:szCs w:val="24"/>
        </w:rPr>
        <w:t xml:space="preserve"> have grappled with this question in the bankruptcy cases filed by LTL Management LLC</w:t>
      </w:r>
      <w:r w:rsidR="00A532EE">
        <w:rPr>
          <w:rFonts w:ascii="Times New Roman" w:hAnsi="Times New Roman" w:cs="Times New Roman"/>
          <w:color w:val="333333"/>
          <w:sz w:val="24"/>
          <w:szCs w:val="24"/>
        </w:rPr>
        <w:t xml:space="preserve"> (“LTL”)</w:t>
      </w:r>
      <w:r w:rsidR="009A749D">
        <w:rPr>
          <w:rFonts w:ascii="Times New Roman" w:hAnsi="Times New Roman" w:cs="Times New Roman"/>
          <w:color w:val="333333"/>
          <w:sz w:val="24"/>
          <w:szCs w:val="24"/>
        </w:rPr>
        <w:t>, a subsidiary of Johnson &amp; Johnson</w:t>
      </w:r>
      <w:r w:rsidR="001648CD" w:rsidRPr="00015802">
        <w:rPr>
          <w:rFonts w:ascii="Times New Roman" w:hAnsi="Times New Roman" w:cs="Times New Roman"/>
          <w:color w:val="333333"/>
          <w:sz w:val="24"/>
          <w:szCs w:val="24"/>
        </w:rPr>
        <w:t xml:space="preserve">. </w:t>
      </w:r>
      <w:r w:rsidR="005E491A" w:rsidRPr="00015802">
        <w:rPr>
          <w:rFonts w:ascii="Times New Roman" w:hAnsi="Times New Roman" w:cs="Times New Roman"/>
          <w:color w:val="333333"/>
          <w:sz w:val="24"/>
          <w:szCs w:val="24"/>
        </w:rPr>
        <w:t xml:space="preserve">   </w:t>
      </w:r>
      <w:r w:rsidR="00720C67" w:rsidRPr="00015802">
        <w:rPr>
          <w:rFonts w:ascii="Times New Roman" w:hAnsi="Times New Roman" w:cs="Times New Roman"/>
          <w:color w:val="333333"/>
          <w:sz w:val="24"/>
          <w:szCs w:val="24"/>
        </w:rPr>
        <w:t xml:space="preserve"> </w:t>
      </w:r>
    </w:p>
    <w:p w14:paraId="7FA857CB" w14:textId="77777777" w:rsidR="001648CD" w:rsidRPr="00015802" w:rsidRDefault="001648CD" w:rsidP="00015802">
      <w:pPr>
        <w:spacing w:after="0" w:line="480" w:lineRule="auto"/>
        <w:jc w:val="both"/>
        <w:rPr>
          <w:rFonts w:ascii="Times New Roman" w:hAnsi="Times New Roman" w:cs="Times New Roman"/>
          <w:b/>
          <w:bCs/>
          <w:sz w:val="24"/>
          <w:szCs w:val="24"/>
        </w:rPr>
      </w:pPr>
      <w:r w:rsidRPr="00015802">
        <w:rPr>
          <w:rFonts w:ascii="Times New Roman" w:hAnsi="Times New Roman" w:cs="Times New Roman"/>
          <w:b/>
          <w:bCs/>
          <w:sz w:val="24"/>
          <w:szCs w:val="24"/>
        </w:rPr>
        <w:t>Background</w:t>
      </w:r>
    </w:p>
    <w:p w14:paraId="7F2FD4DD" w14:textId="2AD50D6C" w:rsidR="007E3C36" w:rsidRPr="007E3C36" w:rsidRDefault="00453A17" w:rsidP="00015802">
      <w:pPr>
        <w:spacing w:after="0" w:line="480" w:lineRule="auto"/>
        <w:ind w:firstLine="720"/>
        <w:jc w:val="both"/>
        <w:textAlignment w:val="baseline"/>
        <w:rPr>
          <w:rFonts w:ascii="Times New Roman" w:eastAsia="Times New Roman" w:hAnsi="Times New Roman" w:cs="Times New Roman"/>
          <w:color w:val="202124"/>
          <w:sz w:val="24"/>
          <w:szCs w:val="24"/>
        </w:rPr>
      </w:pPr>
      <w:r w:rsidRPr="00242274">
        <w:rPr>
          <w:rFonts w:ascii="Times New Roman" w:eastAsia="Times New Roman" w:hAnsi="Times New Roman" w:cs="Times New Roman"/>
          <w:color w:val="202124"/>
          <w:sz w:val="24"/>
          <w:szCs w:val="24"/>
        </w:rPr>
        <w:t>Johnson &amp; Johnson</w:t>
      </w:r>
      <w:r w:rsidR="00FE4648">
        <w:rPr>
          <w:rFonts w:ascii="Times New Roman" w:eastAsia="Times New Roman" w:hAnsi="Times New Roman" w:cs="Times New Roman"/>
          <w:color w:val="202124"/>
          <w:sz w:val="24"/>
          <w:szCs w:val="24"/>
        </w:rPr>
        <w:t xml:space="preserve"> (the “Parent Company”)</w:t>
      </w:r>
      <w:r w:rsidRPr="00242274">
        <w:rPr>
          <w:rFonts w:ascii="Times New Roman" w:eastAsia="Times New Roman" w:hAnsi="Times New Roman" w:cs="Times New Roman"/>
          <w:color w:val="202124"/>
          <w:sz w:val="24"/>
          <w:szCs w:val="24"/>
        </w:rPr>
        <w:t xml:space="preserve"> is an American corporation headquartered in New Jersey.  It develops medical devices, pharmaceuticals</w:t>
      </w:r>
      <w:r w:rsidR="00526CEB">
        <w:rPr>
          <w:rFonts w:ascii="Times New Roman" w:eastAsia="Times New Roman" w:hAnsi="Times New Roman" w:cs="Times New Roman"/>
          <w:color w:val="202124"/>
          <w:sz w:val="24"/>
          <w:szCs w:val="24"/>
        </w:rPr>
        <w:t>,</w:t>
      </w:r>
      <w:r w:rsidRPr="00242274">
        <w:rPr>
          <w:rFonts w:ascii="Times New Roman" w:eastAsia="Times New Roman" w:hAnsi="Times New Roman" w:cs="Times New Roman"/>
          <w:color w:val="202124"/>
          <w:sz w:val="24"/>
          <w:szCs w:val="24"/>
        </w:rPr>
        <w:t xml:space="preserve"> and consumer goods and is ranked in the top 50 of the largest American corporations by revenue. </w:t>
      </w:r>
      <w:r w:rsidR="00FE4648">
        <w:rPr>
          <w:rFonts w:ascii="Times New Roman" w:eastAsia="Times New Roman" w:hAnsi="Times New Roman" w:cs="Times New Roman"/>
          <w:color w:val="202124"/>
          <w:sz w:val="24"/>
          <w:szCs w:val="24"/>
        </w:rPr>
        <w:t xml:space="preserve"> </w:t>
      </w:r>
      <w:r w:rsidR="007E3C36" w:rsidRPr="007E3C36">
        <w:rPr>
          <w:rFonts w:ascii="Times New Roman" w:eastAsia="Times New Roman" w:hAnsi="Times New Roman" w:cs="Times New Roman"/>
          <w:color w:val="202124"/>
          <w:sz w:val="24"/>
          <w:szCs w:val="24"/>
        </w:rPr>
        <w:t>Johnson &amp; Johnson Consumer Inc. (“Old J</w:t>
      </w:r>
      <w:r w:rsidR="009A749D" w:rsidRPr="00242274">
        <w:rPr>
          <w:rFonts w:ascii="Times New Roman" w:eastAsia="Times New Roman" w:hAnsi="Times New Roman" w:cs="Times New Roman"/>
          <w:color w:val="202124"/>
          <w:sz w:val="24"/>
          <w:szCs w:val="24"/>
        </w:rPr>
        <w:t>&amp;J</w:t>
      </w:r>
      <w:r w:rsidR="007E3C36" w:rsidRPr="007E3C36">
        <w:rPr>
          <w:rFonts w:ascii="Times New Roman" w:eastAsia="Times New Roman" w:hAnsi="Times New Roman" w:cs="Times New Roman"/>
          <w:color w:val="202124"/>
          <w:sz w:val="24"/>
          <w:szCs w:val="24"/>
        </w:rPr>
        <w:t>”)</w:t>
      </w:r>
      <w:r w:rsidR="00FE4648">
        <w:rPr>
          <w:rFonts w:ascii="Times New Roman" w:eastAsia="Times New Roman" w:hAnsi="Times New Roman" w:cs="Times New Roman"/>
          <w:color w:val="202124"/>
          <w:sz w:val="24"/>
          <w:szCs w:val="24"/>
        </w:rPr>
        <w:t xml:space="preserve"> was a subsidiary of the Parent Company</w:t>
      </w:r>
      <w:r w:rsidR="00DB0107">
        <w:rPr>
          <w:rFonts w:ascii="Times New Roman" w:eastAsia="Times New Roman" w:hAnsi="Times New Roman" w:cs="Times New Roman"/>
          <w:color w:val="202124"/>
          <w:sz w:val="24"/>
          <w:szCs w:val="24"/>
        </w:rPr>
        <w:t xml:space="preserve">, also with </w:t>
      </w:r>
      <w:r w:rsidR="00FE4648">
        <w:rPr>
          <w:rFonts w:ascii="Times New Roman" w:eastAsia="Times New Roman" w:hAnsi="Times New Roman" w:cs="Times New Roman"/>
          <w:color w:val="202124"/>
          <w:sz w:val="24"/>
          <w:szCs w:val="24"/>
        </w:rPr>
        <w:t xml:space="preserve">its base of operations in New Jersey.  </w:t>
      </w:r>
      <w:r w:rsidR="00FE4648" w:rsidRPr="00242274">
        <w:rPr>
          <w:rFonts w:ascii="Times New Roman" w:eastAsia="Times New Roman" w:hAnsi="Times New Roman" w:cs="Times New Roman"/>
          <w:color w:val="202124"/>
          <w:sz w:val="24"/>
          <w:szCs w:val="24"/>
        </w:rPr>
        <w:t>For over forty years</w:t>
      </w:r>
      <w:r w:rsidR="00FE4648">
        <w:rPr>
          <w:rFonts w:ascii="Times New Roman" w:eastAsia="Times New Roman" w:hAnsi="Times New Roman" w:cs="Times New Roman"/>
          <w:color w:val="202124"/>
          <w:sz w:val="24"/>
          <w:szCs w:val="24"/>
        </w:rPr>
        <w:t xml:space="preserve">, </w:t>
      </w:r>
      <w:r w:rsidR="00DB0107">
        <w:rPr>
          <w:rFonts w:ascii="Times New Roman" w:eastAsia="Times New Roman" w:hAnsi="Times New Roman" w:cs="Times New Roman"/>
          <w:color w:val="202124"/>
          <w:sz w:val="24"/>
          <w:szCs w:val="24"/>
        </w:rPr>
        <w:t>O</w:t>
      </w:r>
      <w:r w:rsidR="00FE4648">
        <w:rPr>
          <w:rFonts w:ascii="Times New Roman" w:eastAsia="Times New Roman" w:hAnsi="Times New Roman" w:cs="Times New Roman"/>
          <w:color w:val="202124"/>
          <w:sz w:val="24"/>
          <w:szCs w:val="24"/>
        </w:rPr>
        <w:t>ld J&amp;J</w:t>
      </w:r>
      <w:r w:rsidR="007E3C36" w:rsidRPr="007E3C36">
        <w:rPr>
          <w:rFonts w:ascii="Times New Roman" w:eastAsia="Times New Roman" w:hAnsi="Times New Roman" w:cs="Times New Roman"/>
          <w:color w:val="202124"/>
          <w:sz w:val="24"/>
          <w:szCs w:val="24"/>
        </w:rPr>
        <w:t xml:space="preserve"> </w:t>
      </w:r>
      <w:r w:rsidR="009A749D" w:rsidRPr="00242274">
        <w:rPr>
          <w:rFonts w:ascii="Times New Roman" w:eastAsia="Times New Roman" w:hAnsi="Times New Roman" w:cs="Times New Roman"/>
          <w:color w:val="202124"/>
          <w:sz w:val="24"/>
          <w:szCs w:val="24"/>
        </w:rPr>
        <w:t>sold</w:t>
      </w:r>
      <w:r w:rsidR="007E3C36" w:rsidRPr="007E3C36">
        <w:rPr>
          <w:rFonts w:ascii="Times New Roman" w:eastAsia="Times New Roman" w:hAnsi="Times New Roman" w:cs="Times New Roman"/>
          <w:color w:val="202124"/>
          <w:sz w:val="24"/>
          <w:szCs w:val="24"/>
        </w:rPr>
        <w:t xml:space="preserve"> Johnson’s Baby Powder, a talc-based skin product.</w:t>
      </w:r>
      <w:r w:rsidRPr="00242274">
        <w:rPr>
          <w:rFonts w:ascii="Times New Roman" w:eastAsia="Times New Roman" w:hAnsi="Times New Roman" w:cs="Times New Roman"/>
          <w:color w:val="202124"/>
          <w:sz w:val="24"/>
          <w:szCs w:val="24"/>
        </w:rPr>
        <w:t xml:space="preserve"> </w:t>
      </w:r>
      <w:r w:rsidR="00FE4648">
        <w:rPr>
          <w:rFonts w:ascii="Times New Roman" w:eastAsia="Times New Roman" w:hAnsi="Times New Roman" w:cs="Times New Roman"/>
          <w:color w:val="202124"/>
          <w:sz w:val="24"/>
          <w:szCs w:val="24"/>
        </w:rPr>
        <w:t xml:space="preserve"> </w:t>
      </w:r>
      <w:r w:rsidRPr="00242274">
        <w:rPr>
          <w:rFonts w:ascii="Times New Roman" w:eastAsia="Times New Roman" w:hAnsi="Times New Roman" w:cs="Times New Roman"/>
          <w:color w:val="202124"/>
          <w:sz w:val="24"/>
          <w:szCs w:val="24"/>
        </w:rPr>
        <w:t xml:space="preserve">In recent years, Old J&amp;J began to face significant litigation in connection with its </w:t>
      </w:r>
      <w:r w:rsidR="007E3C36" w:rsidRPr="007E3C36">
        <w:rPr>
          <w:rFonts w:ascii="Times New Roman" w:eastAsia="Times New Roman" w:hAnsi="Times New Roman" w:cs="Times New Roman"/>
          <w:color w:val="202124"/>
          <w:sz w:val="24"/>
          <w:szCs w:val="24"/>
        </w:rPr>
        <w:t>talc-based products</w:t>
      </w:r>
      <w:r w:rsidRPr="00242274">
        <w:rPr>
          <w:rFonts w:ascii="Times New Roman" w:eastAsia="Times New Roman" w:hAnsi="Times New Roman" w:cs="Times New Roman"/>
          <w:color w:val="202124"/>
          <w:sz w:val="24"/>
          <w:szCs w:val="24"/>
        </w:rPr>
        <w:t xml:space="preserve">.  Plaintiffs </w:t>
      </w:r>
      <w:r w:rsidR="00572EE5">
        <w:rPr>
          <w:rFonts w:ascii="Times New Roman" w:eastAsia="Times New Roman" w:hAnsi="Times New Roman" w:cs="Times New Roman"/>
          <w:color w:val="202124"/>
          <w:sz w:val="24"/>
          <w:szCs w:val="24"/>
        </w:rPr>
        <w:t>in th</w:t>
      </w:r>
      <w:r w:rsidR="00DB0107">
        <w:rPr>
          <w:rFonts w:ascii="Times New Roman" w:eastAsia="Times New Roman" w:hAnsi="Times New Roman" w:cs="Times New Roman"/>
          <w:color w:val="202124"/>
          <w:sz w:val="24"/>
          <w:szCs w:val="24"/>
        </w:rPr>
        <w:t>e</w:t>
      </w:r>
      <w:r w:rsidR="00572EE5">
        <w:rPr>
          <w:rFonts w:ascii="Times New Roman" w:eastAsia="Times New Roman" w:hAnsi="Times New Roman" w:cs="Times New Roman"/>
          <w:color w:val="202124"/>
          <w:sz w:val="24"/>
          <w:szCs w:val="24"/>
        </w:rPr>
        <w:t xml:space="preserve"> litigation </w:t>
      </w:r>
      <w:r w:rsidRPr="00242274">
        <w:rPr>
          <w:rFonts w:ascii="Times New Roman" w:eastAsia="Times New Roman" w:hAnsi="Times New Roman" w:cs="Times New Roman"/>
          <w:color w:val="202124"/>
          <w:sz w:val="24"/>
          <w:szCs w:val="24"/>
        </w:rPr>
        <w:t xml:space="preserve">alleged that the products </w:t>
      </w:r>
      <w:r w:rsidR="007E3C36" w:rsidRPr="007E3C36">
        <w:rPr>
          <w:rFonts w:ascii="Times New Roman" w:eastAsia="Times New Roman" w:hAnsi="Times New Roman" w:cs="Times New Roman"/>
          <w:color w:val="202124"/>
          <w:sz w:val="24"/>
          <w:szCs w:val="24"/>
        </w:rPr>
        <w:t>caused ovarian cance</w:t>
      </w:r>
      <w:r w:rsidRPr="00242274">
        <w:rPr>
          <w:rFonts w:ascii="Times New Roman" w:eastAsia="Times New Roman" w:hAnsi="Times New Roman" w:cs="Times New Roman"/>
          <w:color w:val="202124"/>
          <w:sz w:val="24"/>
          <w:szCs w:val="24"/>
        </w:rPr>
        <w:t xml:space="preserve">r and other medical complications.  </w:t>
      </w:r>
      <w:r w:rsidR="007E3C36" w:rsidRPr="007E3C36">
        <w:rPr>
          <w:rFonts w:ascii="Times New Roman" w:eastAsia="Times New Roman" w:hAnsi="Times New Roman" w:cs="Times New Roman"/>
          <w:color w:val="202124"/>
          <w:sz w:val="24"/>
          <w:szCs w:val="24"/>
        </w:rPr>
        <w:t xml:space="preserve">The litigation </w:t>
      </w:r>
      <w:r w:rsidRPr="00242274">
        <w:rPr>
          <w:rFonts w:ascii="Times New Roman" w:eastAsia="Times New Roman" w:hAnsi="Times New Roman" w:cs="Times New Roman"/>
          <w:color w:val="202124"/>
          <w:sz w:val="24"/>
          <w:szCs w:val="24"/>
        </w:rPr>
        <w:t xml:space="preserve">consisted of </w:t>
      </w:r>
      <w:r w:rsidR="008E5B54">
        <w:rPr>
          <w:rFonts w:ascii="Times New Roman" w:eastAsia="Times New Roman" w:hAnsi="Times New Roman" w:cs="Times New Roman"/>
          <w:color w:val="202124"/>
          <w:sz w:val="24"/>
          <w:szCs w:val="24"/>
        </w:rPr>
        <w:t>nearly 40</w:t>
      </w:r>
      <w:r w:rsidR="007E3C36" w:rsidRPr="007E3C36">
        <w:rPr>
          <w:rFonts w:ascii="Times New Roman" w:eastAsia="Times New Roman" w:hAnsi="Times New Roman" w:cs="Times New Roman"/>
          <w:color w:val="202124"/>
          <w:sz w:val="24"/>
          <w:szCs w:val="24"/>
        </w:rPr>
        <w:t xml:space="preserve">,000 ovarian cancer actions and 400 </w:t>
      </w:r>
      <w:r w:rsidR="007E3C36" w:rsidRPr="007E3C36">
        <w:rPr>
          <w:rFonts w:ascii="Times New Roman" w:eastAsia="Times New Roman" w:hAnsi="Times New Roman" w:cs="Times New Roman"/>
          <w:color w:val="202124"/>
          <w:sz w:val="24"/>
          <w:szCs w:val="24"/>
        </w:rPr>
        <w:lastRenderedPageBreak/>
        <w:t>mesothelioma actions against Old J</w:t>
      </w:r>
      <w:r w:rsidRPr="00242274">
        <w:rPr>
          <w:rFonts w:ascii="Times New Roman" w:eastAsia="Times New Roman" w:hAnsi="Times New Roman" w:cs="Times New Roman"/>
          <w:color w:val="202124"/>
          <w:sz w:val="24"/>
          <w:szCs w:val="24"/>
        </w:rPr>
        <w:t xml:space="preserve">&amp;J, and the company anticipated that </w:t>
      </w:r>
      <w:r w:rsidR="007E3C36" w:rsidRPr="007E3C36">
        <w:rPr>
          <w:rFonts w:ascii="Times New Roman" w:eastAsia="Times New Roman" w:hAnsi="Times New Roman" w:cs="Times New Roman"/>
          <w:color w:val="202124"/>
          <w:sz w:val="24"/>
          <w:szCs w:val="24"/>
        </w:rPr>
        <w:t>the l</w:t>
      </w:r>
      <w:r w:rsidRPr="00242274">
        <w:rPr>
          <w:rFonts w:ascii="Times New Roman" w:eastAsia="Times New Roman" w:hAnsi="Times New Roman" w:cs="Times New Roman"/>
          <w:color w:val="202124"/>
          <w:sz w:val="24"/>
          <w:szCs w:val="24"/>
        </w:rPr>
        <w:t xml:space="preserve">itigation would </w:t>
      </w:r>
      <w:r w:rsidR="00DB0107">
        <w:rPr>
          <w:rFonts w:ascii="Times New Roman" w:eastAsia="Times New Roman" w:hAnsi="Times New Roman" w:cs="Times New Roman"/>
          <w:color w:val="202124"/>
          <w:sz w:val="24"/>
          <w:szCs w:val="24"/>
        </w:rPr>
        <w:t xml:space="preserve">continue to </w:t>
      </w:r>
      <w:r w:rsidRPr="00242274">
        <w:rPr>
          <w:rFonts w:ascii="Times New Roman" w:eastAsia="Times New Roman" w:hAnsi="Times New Roman" w:cs="Times New Roman"/>
          <w:color w:val="202124"/>
          <w:sz w:val="24"/>
          <w:szCs w:val="24"/>
        </w:rPr>
        <w:t>increase in the coming years</w:t>
      </w:r>
      <w:r w:rsidR="007E3C36" w:rsidRPr="007E3C36">
        <w:rPr>
          <w:rFonts w:ascii="Times New Roman" w:eastAsia="Times New Roman" w:hAnsi="Times New Roman" w:cs="Times New Roman"/>
          <w:color w:val="202124"/>
          <w:sz w:val="24"/>
          <w:szCs w:val="24"/>
        </w:rPr>
        <w:t>.</w:t>
      </w:r>
    </w:p>
    <w:p w14:paraId="453E8B6A" w14:textId="3B4AF727" w:rsidR="00A532EE" w:rsidRDefault="00526CEB" w:rsidP="00015802">
      <w:pPr>
        <w:spacing w:after="0" w:line="480" w:lineRule="auto"/>
        <w:ind w:firstLine="720"/>
        <w:jc w:val="both"/>
        <w:textAlignment w:val="baseline"/>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w:t>
      </w:r>
      <w:r w:rsidR="007E3C36" w:rsidRPr="007E3C36">
        <w:rPr>
          <w:rFonts w:ascii="Times New Roman" w:eastAsia="Times New Roman" w:hAnsi="Times New Roman" w:cs="Times New Roman"/>
          <w:color w:val="202124"/>
          <w:sz w:val="24"/>
          <w:szCs w:val="24"/>
        </w:rPr>
        <w:t xml:space="preserve">o manage </w:t>
      </w:r>
      <w:r w:rsidR="00A532EE" w:rsidRPr="00A532EE">
        <w:rPr>
          <w:rFonts w:ascii="Times New Roman" w:eastAsia="Times New Roman" w:hAnsi="Times New Roman" w:cs="Times New Roman"/>
          <w:color w:val="202124"/>
          <w:sz w:val="24"/>
          <w:szCs w:val="24"/>
        </w:rPr>
        <w:t xml:space="preserve">pending and potential </w:t>
      </w:r>
      <w:r w:rsidR="007E3C36" w:rsidRPr="007E3C36">
        <w:rPr>
          <w:rFonts w:ascii="Times New Roman" w:eastAsia="Times New Roman" w:hAnsi="Times New Roman" w:cs="Times New Roman"/>
          <w:color w:val="202124"/>
          <w:sz w:val="24"/>
          <w:szCs w:val="24"/>
        </w:rPr>
        <w:t xml:space="preserve">litigation, </w:t>
      </w:r>
      <w:r w:rsidR="00A532EE" w:rsidRPr="00A532EE">
        <w:rPr>
          <w:rFonts w:ascii="Times New Roman" w:eastAsia="Times New Roman" w:hAnsi="Times New Roman" w:cs="Times New Roman"/>
          <w:color w:val="202124"/>
          <w:sz w:val="24"/>
          <w:szCs w:val="24"/>
        </w:rPr>
        <w:t>Old J&amp;J</w:t>
      </w:r>
      <w:r w:rsidR="007E3C36" w:rsidRPr="007E3C36">
        <w:rPr>
          <w:rFonts w:ascii="Times New Roman" w:eastAsia="Times New Roman" w:hAnsi="Times New Roman" w:cs="Times New Roman"/>
          <w:color w:val="202124"/>
          <w:sz w:val="24"/>
          <w:szCs w:val="24"/>
        </w:rPr>
        <w:t xml:space="preserve"> executed a divisional merger under Texas law</w:t>
      </w:r>
      <w:r w:rsidR="00A532EE" w:rsidRPr="00A532EE">
        <w:rPr>
          <w:rFonts w:ascii="Times New Roman" w:eastAsia="Times New Roman" w:hAnsi="Times New Roman" w:cs="Times New Roman"/>
          <w:color w:val="202124"/>
          <w:sz w:val="24"/>
          <w:szCs w:val="24"/>
        </w:rPr>
        <w:t xml:space="preserve">, which is also known as </w:t>
      </w:r>
      <w:r w:rsidR="007E3C36" w:rsidRPr="007E3C36">
        <w:rPr>
          <w:rFonts w:ascii="Times New Roman" w:eastAsia="Times New Roman" w:hAnsi="Times New Roman" w:cs="Times New Roman"/>
          <w:color w:val="202124"/>
          <w:sz w:val="24"/>
          <w:szCs w:val="24"/>
        </w:rPr>
        <w:t>the “Texas Two-Step</w:t>
      </w:r>
      <w:r w:rsidR="00A532EE" w:rsidRPr="00A532EE">
        <w:rPr>
          <w:rFonts w:ascii="Times New Roman" w:eastAsia="Times New Roman" w:hAnsi="Times New Roman" w:cs="Times New Roman"/>
          <w:color w:val="202124"/>
          <w:sz w:val="24"/>
          <w:szCs w:val="24"/>
        </w:rPr>
        <w:t>.</w:t>
      </w:r>
      <w:r w:rsidR="007E3C36" w:rsidRPr="007E3C36">
        <w:rPr>
          <w:rFonts w:ascii="Times New Roman" w:eastAsia="Times New Roman" w:hAnsi="Times New Roman" w:cs="Times New Roman"/>
          <w:color w:val="202124"/>
          <w:sz w:val="24"/>
          <w:szCs w:val="24"/>
        </w:rPr>
        <w:t>”</w:t>
      </w:r>
      <w:r w:rsidR="00A532EE" w:rsidRPr="00A532EE">
        <w:rPr>
          <w:rFonts w:ascii="Times New Roman" w:eastAsia="Times New Roman" w:hAnsi="Times New Roman" w:cs="Times New Roman"/>
          <w:color w:val="202124"/>
          <w:sz w:val="24"/>
          <w:szCs w:val="24"/>
        </w:rPr>
        <w:t xml:space="preserve">  T</w:t>
      </w:r>
      <w:r w:rsidR="00572EE5">
        <w:rPr>
          <w:rFonts w:ascii="Times New Roman" w:eastAsia="Times New Roman" w:hAnsi="Times New Roman" w:cs="Times New Roman"/>
          <w:color w:val="202124"/>
          <w:sz w:val="24"/>
          <w:szCs w:val="24"/>
        </w:rPr>
        <w:t>exas’</w:t>
      </w:r>
      <w:r w:rsidR="00A532EE" w:rsidRPr="00A532EE">
        <w:rPr>
          <w:rFonts w:ascii="Times New Roman" w:eastAsia="Times New Roman" w:hAnsi="Times New Roman" w:cs="Times New Roman"/>
          <w:color w:val="202124"/>
          <w:sz w:val="24"/>
          <w:szCs w:val="24"/>
        </w:rPr>
        <w:t xml:space="preserve"> divisional merger</w:t>
      </w:r>
      <w:r w:rsidR="00572EE5">
        <w:rPr>
          <w:rFonts w:ascii="Times New Roman" w:eastAsia="Times New Roman" w:hAnsi="Times New Roman" w:cs="Times New Roman"/>
          <w:color w:val="202124"/>
          <w:sz w:val="24"/>
          <w:szCs w:val="24"/>
        </w:rPr>
        <w:t xml:space="preserve"> laws </w:t>
      </w:r>
      <w:r w:rsidR="00A532EE" w:rsidRPr="00A532EE">
        <w:rPr>
          <w:rFonts w:ascii="Times New Roman" w:eastAsia="Times New Roman" w:hAnsi="Times New Roman" w:cs="Times New Roman"/>
          <w:color w:val="202124"/>
          <w:sz w:val="24"/>
          <w:szCs w:val="24"/>
        </w:rPr>
        <w:t xml:space="preserve">permit </w:t>
      </w:r>
      <w:r w:rsidR="007E3C36" w:rsidRPr="007E3C36">
        <w:rPr>
          <w:rFonts w:ascii="Times New Roman" w:eastAsia="Times New Roman" w:hAnsi="Times New Roman" w:cs="Times New Roman"/>
          <w:color w:val="202124"/>
          <w:sz w:val="24"/>
          <w:szCs w:val="24"/>
        </w:rPr>
        <w:t xml:space="preserve">an entity </w:t>
      </w:r>
      <w:r w:rsidR="00A532EE" w:rsidRPr="00A532EE">
        <w:rPr>
          <w:rFonts w:ascii="Times New Roman" w:eastAsia="Times New Roman" w:hAnsi="Times New Roman" w:cs="Times New Roman"/>
          <w:color w:val="202124"/>
          <w:sz w:val="24"/>
          <w:szCs w:val="24"/>
        </w:rPr>
        <w:t xml:space="preserve">to </w:t>
      </w:r>
      <w:r w:rsidR="007E3C36" w:rsidRPr="007E3C36">
        <w:rPr>
          <w:rFonts w:ascii="Times New Roman" w:eastAsia="Times New Roman" w:hAnsi="Times New Roman" w:cs="Times New Roman"/>
          <w:color w:val="202124"/>
          <w:sz w:val="24"/>
          <w:szCs w:val="24"/>
        </w:rPr>
        <w:t>divide into two new entities</w:t>
      </w:r>
      <w:r w:rsidR="00A532EE" w:rsidRPr="00A532EE">
        <w:rPr>
          <w:rFonts w:ascii="Times New Roman" w:eastAsia="Times New Roman" w:hAnsi="Times New Roman" w:cs="Times New Roman"/>
          <w:color w:val="202124"/>
          <w:sz w:val="24"/>
          <w:szCs w:val="24"/>
        </w:rPr>
        <w:t>.  T</w:t>
      </w:r>
      <w:r w:rsidR="007E3C36" w:rsidRPr="007E3C36">
        <w:rPr>
          <w:rFonts w:ascii="Times New Roman" w:eastAsia="Times New Roman" w:hAnsi="Times New Roman" w:cs="Times New Roman"/>
          <w:color w:val="202124"/>
          <w:sz w:val="24"/>
          <w:szCs w:val="24"/>
        </w:rPr>
        <w:t>he old entity</w:t>
      </w:r>
      <w:r w:rsidR="00A532EE" w:rsidRPr="00A532EE">
        <w:rPr>
          <w:rFonts w:ascii="Times New Roman" w:eastAsia="Times New Roman" w:hAnsi="Times New Roman" w:cs="Times New Roman"/>
          <w:color w:val="202124"/>
          <w:sz w:val="24"/>
          <w:szCs w:val="24"/>
        </w:rPr>
        <w:t xml:space="preserve"> does </w:t>
      </w:r>
      <w:r w:rsidR="007E3C36" w:rsidRPr="007E3C36">
        <w:rPr>
          <w:rFonts w:ascii="Times New Roman" w:eastAsia="Times New Roman" w:hAnsi="Times New Roman" w:cs="Times New Roman"/>
          <w:color w:val="202124"/>
          <w:sz w:val="24"/>
          <w:szCs w:val="24"/>
        </w:rPr>
        <w:t>not survive the merger</w:t>
      </w:r>
      <w:r w:rsidR="00A532EE" w:rsidRPr="00A532EE">
        <w:rPr>
          <w:rFonts w:ascii="Times New Roman" w:eastAsia="Times New Roman" w:hAnsi="Times New Roman" w:cs="Times New Roman"/>
          <w:color w:val="202124"/>
          <w:sz w:val="24"/>
          <w:szCs w:val="24"/>
        </w:rPr>
        <w:t>, but it a</w:t>
      </w:r>
      <w:r w:rsidR="007E3C36" w:rsidRPr="007E3C36">
        <w:rPr>
          <w:rFonts w:ascii="Times New Roman" w:eastAsia="Times New Roman" w:hAnsi="Times New Roman" w:cs="Times New Roman"/>
          <w:color w:val="202124"/>
          <w:sz w:val="24"/>
          <w:szCs w:val="24"/>
        </w:rPr>
        <w:t xml:space="preserve">llocates its </w:t>
      </w:r>
      <w:r w:rsidR="00A532EE" w:rsidRPr="00A532EE">
        <w:rPr>
          <w:rFonts w:ascii="Times New Roman" w:eastAsia="Times New Roman" w:hAnsi="Times New Roman" w:cs="Times New Roman"/>
          <w:color w:val="202124"/>
          <w:sz w:val="24"/>
          <w:szCs w:val="24"/>
        </w:rPr>
        <w:t xml:space="preserve">assets and </w:t>
      </w:r>
      <w:r w:rsidR="007E3C36" w:rsidRPr="007E3C36">
        <w:rPr>
          <w:rFonts w:ascii="Times New Roman" w:eastAsia="Times New Roman" w:hAnsi="Times New Roman" w:cs="Times New Roman"/>
          <w:color w:val="202124"/>
          <w:sz w:val="24"/>
          <w:szCs w:val="24"/>
        </w:rPr>
        <w:t xml:space="preserve">liabilities </w:t>
      </w:r>
      <w:r w:rsidR="00A532EE" w:rsidRPr="00A532EE">
        <w:rPr>
          <w:rFonts w:ascii="Times New Roman" w:eastAsia="Times New Roman" w:hAnsi="Times New Roman" w:cs="Times New Roman"/>
          <w:color w:val="202124"/>
          <w:sz w:val="24"/>
          <w:szCs w:val="24"/>
        </w:rPr>
        <w:t xml:space="preserve">between </w:t>
      </w:r>
      <w:r w:rsidR="007E3C36" w:rsidRPr="007E3C36">
        <w:rPr>
          <w:rFonts w:ascii="Times New Roman" w:eastAsia="Times New Roman" w:hAnsi="Times New Roman" w:cs="Times New Roman"/>
          <w:color w:val="202124"/>
          <w:sz w:val="24"/>
          <w:szCs w:val="24"/>
        </w:rPr>
        <w:t>the new entities.</w:t>
      </w:r>
      <w:r w:rsidR="008E5B54">
        <w:rPr>
          <w:rStyle w:val="FootnoteReference"/>
          <w:rFonts w:ascii="Times New Roman" w:eastAsia="Times New Roman" w:hAnsi="Times New Roman" w:cs="Times New Roman"/>
          <w:color w:val="202124"/>
          <w:sz w:val="24"/>
          <w:szCs w:val="24"/>
        </w:rPr>
        <w:footnoteReference w:id="1"/>
      </w:r>
      <w:r w:rsidR="00A532EE" w:rsidRPr="00A532EE">
        <w:rPr>
          <w:rFonts w:ascii="Times New Roman" w:eastAsia="Times New Roman" w:hAnsi="Times New Roman" w:cs="Times New Roman"/>
          <w:color w:val="202124"/>
          <w:sz w:val="24"/>
          <w:szCs w:val="24"/>
        </w:rPr>
        <w:t xml:space="preserve"> </w:t>
      </w:r>
      <w:r w:rsidR="008E5B54">
        <w:rPr>
          <w:rFonts w:ascii="Times New Roman" w:eastAsia="Times New Roman" w:hAnsi="Times New Roman" w:cs="Times New Roman"/>
          <w:color w:val="202124"/>
          <w:sz w:val="24"/>
          <w:szCs w:val="24"/>
        </w:rPr>
        <w:t xml:space="preserve"> A</w:t>
      </w:r>
      <w:r w:rsidR="00A532EE" w:rsidRPr="00A532EE">
        <w:rPr>
          <w:rFonts w:ascii="Times New Roman" w:eastAsia="Times New Roman" w:hAnsi="Times New Roman" w:cs="Times New Roman"/>
          <w:color w:val="202124"/>
          <w:sz w:val="24"/>
          <w:szCs w:val="24"/>
        </w:rPr>
        <w:t xml:space="preserve">n </w:t>
      </w:r>
      <w:r w:rsidR="00A532EE" w:rsidRPr="007E3C36">
        <w:rPr>
          <w:rFonts w:ascii="Times New Roman" w:eastAsia="Times New Roman" w:hAnsi="Times New Roman" w:cs="Times New Roman"/>
          <w:color w:val="202124"/>
          <w:sz w:val="24"/>
          <w:szCs w:val="24"/>
        </w:rPr>
        <w:t xml:space="preserve">entity created in a divisional merger is </w:t>
      </w:r>
      <w:r w:rsidR="00A532EE" w:rsidRPr="00A532EE">
        <w:rPr>
          <w:rFonts w:ascii="Times New Roman" w:eastAsia="Times New Roman" w:hAnsi="Times New Roman" w:cs="Times New Roman"/>
          <w:color w:val="202124"/>
          <w:sz w:val="24"/>
          <w:szCs w:val="24"/>
        </w:rPr>
        <w:t xml:space="preserve">not </w:t>
      </w:r>
      <w:r w:rsidR="00A532EE" w:rsidRPr="007E3C36">
        <w:rPr>
          <w:rFonts w:ascii="Times New Roman" w:eastAsia="Times New Roman" w:hAnsi="Times New Roman" w:cs="Times New Roman"/>
          <w:color w:val="202124"/>
          <w:sz w:val="24"/>
          <w:szCs w:val="24"/>
        </w:rPr>
        <w:t>liable for the debt</w:t>
      </w:r>
      <w:r>
        <w:rPr>
          <w:rFonts w:ascii="Times New Roman" w:eastAsia="Times New Roman" w:hAnsi="Times New Roman" w:cs="Times New Roman"/>
          <w:color w:val="202124"/>
          <w:sz w:val="24"/>
          <w:szCs w:val="24"/>
        </w:rPr>
        <w:t>s</w:t>
      </w:r>
      <w:r w:rsidR="00A532EE" w:rsidRPr="007E3C36">
        <w:rPr>
          <w:rFonts w:ascii="Times New Roman" w:eastAsia="Times New Roman" w:hAnsi="Times New Roman" w:cs="Times New Roman"/>
          <w:color w:val="202124"/>
          <w:sz w:val="24"/>
          <w:szCs w:val="24"/>
        </w:rPr>
        <w:t xml:space="preserve"> or obligations of the other new entity</w:t>
      </w:r>
      <w:r w:rsidR="00A532EE" w:rsidRPr="00A532EE">
        <w:rPr>
          <w:rFonts w:ascii="Times New Roman" w:eastAsia="Times New Roman" w:hAnsi="Times New Roman" w:cs="Times New Roman"/>
          <w:color w:val="202124"/>
          <w:sz w:val="24"/>
          <w:szCs w:val="24"/>
        </w:rPr>
        <w:t xml:space="preserve"> </w:t>
      </w:r>
      <w:r w:rsidR="007E3C36" w:rsidRPr="007E3C36">
        <w:rPr>
          <w:rFonts w:ascii="Times New Roman" w:eastAsia="Times New Roman" w:hAnsi="Times New Roman" w:cs="Times New Roman"/>
          <w:color w:val="202124"/>
          <w:sz w:val="24"/>
          <w:szCs w:val="24"/>
        </w:rPr>
        <w:t>except as otherwise provided by law or contract.</w:t>
      </w:r>
      <w:r w:rsidR="00A532EE" w:rsidRPr="00A532EE">
        <w:rPr>
          <w:rFonts w:ascii="Times New Roman" w:eastAsia="Times New Roman" w:hAnsi="Times New Roman" w:cs="Times New Roman"/>
          <w:color w:val="202124"/>
          <w:sz w:val="24"/>
          <w:szCs w:val="24"/>
        </w:rPr>
        <w:t xml:space="preserve">  </w:t>
      </w:r>
    </w:p>
    <w:p w14:paraId="6906105A" w14:textId="276AFB29" w:rsidR="007E3C36" w:rsidRPr="007E3C36" w:rsidRDefault="00A532EE" w:rsidP="00015802">
      <w:pPr>
        <w:spacing w:after="0" w:line="480" w:lineRule="auto"/>
        <w:ind w:firstLine="720"/>
        <w:jc w:val="both"/>
        <w:textAlignment w:val="baseline"/>
        <w:rPr>
          <w:rFonts w:ascii="Times New Roman" w:eastAsia="Times New Roman" w:hAnsi="Times New Roman" w:cs="Times New Roman"/>
          <w:color w:val="202124"/>
          <w:sz w:val="24"/>
          <w:szCs w:val="24"/>
        </w:rPr>
      </w:pPr>
      <w:r w:rsidRPr="00A532EE">
        <w:rPr>
          <w:rFonts w:ascii="Times New Roman" w:eastAsia="Times New Roman" w:hAnsi="Times New Roman" w:cs="Times New Roman"/>
          <w:color w:val="202124"/>
          <w:sz w:val="24"/>
          <w:szCs w:val="24"/>
        </w:rPr>
        <w:t xml:space="preserve">Through </w:t>
      </w:r>
      <w:r w:rsidR="00572EE5">
        <w:rPr>
          <w:rFonts w:ascii="Times New Roman" w:eastAsia="Times New Roman" w:hAnsi="Times New Roman" w:cs="Times New Roman"/>
          <w:color w:val="202124"/>
          <w:sz w:val="24"/>
          <w:szCs w:val="24"/>
        </w:rPr>
        <w:t>the</w:t>
      </w:r>
      <w:r w:rsidRPr="00A532EE">
        <w:rPr>
          <w:rFonts w:ascii="Times New Roman" w:eastAsia="Times New Roman" w:hAnsi="Times New Roman" w:cs="Times New Roman"/>
          <w:color w:val="202124"/>
          <w:sz w:val="24"/>
          <w:szCs w:val="24"/>
        </w:rPr>
        <w:t xml:space="preserve"> divisional merger, </w:t>
      </w:r>
      <w:r w:rsidR="007E3C36" w:rsidRPr="007E3C36">
        <w:rPr>
          <w:rFonts w:ascii="Times New Roman" w:eastAsia="Times New Roman" w:hAnsi="Times New Roman" w:cs="Times New Roman"/>
          <w:color w:val="202124"/>
          <w:sz w:val="24"/>
          <w:szCs w:val="24"/>
        </w:rPr>
        <w:t>Old J</w:t>
      </w:r>
      <w:r w:rsidRPr="00A532EE">
        <w:rPr>
          <w:rFonts w:ascii="Times New Roman" w:eastAsia="Times New Roman" w:hAnsi="Times New Roman" w:cs="Times New Roman"/>
          <w:color w:val="202124"/>
          <w:sz w:val="24"/>
          <w:szCs w:val="24"/>
        </w:rPr>
        <w:t>&amp;J</w:t>
      </w:r>
      <w:r w:rsidR="007E3C36" w:rsidRPr="007E3C36">
        <w:rPr>
          <w:rFonts w:ascii="Times New Roman" w:eastAsia="Times New Roman" w:hAnsi="Times New Roman" w:cs="Times New Roman"/>
          <w:color w:val="202124"/>
          <w:sz w:val="24"/>
          <w:szCs w:val="24"/>
        </w:rPr>
        <w:t xml:space="preserve"> was divided into LTL and a new Johnson &amp; Johnson Consumer Inc. (“New J</w:t>
      </w:r>
      <w:r w:rsidRPr="00A532EE">
        <w:rPr>
          <w:rFonts w:ascii="Times New Roman" w:eastAsia="Times New Roman" w:hAnsi="Times New Roman" w:cs="Times New Roman"/>
          <w:color w:val="202124"/>
          <w:sz w:val="24"/>
          <w:szCs w:val="24"/>
        </w:rPr>
        <w:t>&amp;J</w:t>
      </w:r>
      <w:r w:rsidR="007E3C36" w:rsidRPr="007E3C36">
        <w:rPr>
          <w:rFonts w:ascii="Times New Roman" w:eastAsia="Times New Roman" w:hAnsi="Times New Roman" w:cs="Times New Roman"/>
          <w:color w:val="202124"/>
          <w:sz w:val="24"/>
          <w:szCs w:val="24"/>
        </w:rPr>
        <w:t>”)</w:t>
      </w:r>
      <w:r w:rsidRPr="00A532EE">
        <w:rPr>
          <w:rFonts w:ascii="Times New Roman" w:eastAsia="Times New Roman" w:hAnsi="Times New Roman" w:cs="Times New Roman"/>
          <w:color w:val="202124"/>
          <w:sz w:val="24"/>
          <w:szCs w:val="24"/>
        </w:rPr>
        <w:t xml:space="preserve">.  </w:t>
      </w:r>
      <w:r w:rsidR="00FE4648">
        <w:rPr>
          <w:rFonts w:ascii="Times New Roman" w:eastAsia="Times New Roman" w:hAnsi="Times New Roman" w:cs="Times New Roman"/>
          <w:color w:val="202124"/>
          <w:sz w:val="24"/>
          <w:szCs w:val="24"/>
        </w:rPr>
        <w:t>LTL was formed as a Texas limited liability and then converted into a North Carolina limited liability company.  New J&amp;J was initially formed as a Texas limited liability company, then</w:t>
      </w:r>
      <w:r w:rsidR="008E5B54">
        <w:rPr>
          <w:rFonts w:ascii="Times New Roman" w:eastAsia="Times New Roman" w:hAnsi="Times New Roman" w:cs="Times New Roman"/>
          <w:color w:val="202124"/>
          <w:sz w:val="24"/>
          <w:szCs w:val="24"/>
        </w:rPr>
        <w:t xml:space="preserve"> </w:t>
      </w:r>
      <w:r w:rsidR="00FE4648">
        <w:rPr>
          <w:rFonts w:ascii="Times New Roman" w:eastAsia="Times New Roman" w:hAnsi="Times New Roman" w:cs="Times New Roman"/>
          <w:color w:val="202124"/>
          <w:sz w:val="24"/>
          <w:szCs w:val="24"/>
        </w:rPr>
        <w:t xml:space="preserve">merged into </w:t>
      </w:r>
      <w:r w:rsidR="00A45FCB">
        <w:rPr>
          <w:rFonts w:ascii="Times New Roman" w:eastAsia="Times New Roman" w:hAnsi="Times New Roman" w:cs="Times New Roman"/>
          <w:color w:val="202124"/>
          <w:sz w:val="24"/>
          <w:szCs w:val="24"/>
        </w:rPr>
        <w:t xml:space="preserve">a New Jersey corporation that was </w:t>
      </w:r>
      <w:r w:rsidR="00526CEB">
        <w:rPr>
          <w:rFonts w:ascii="Times New Roman" w:eastAsia="Times New Roman" w:hAnsi="Times New Roman" w:cs="Times New Roman"/>
          <w:color w:val="202124"/>
          <w:sz w:val="24"/>
          <w:szCs w:val="24"/>
        </w:rPr>
        <w:t xml:space="preserve">its </w:t>
      </w:r>
      <w:r w:rsidR="00A45FCB">
        <w:rPr>
          <w:rFonts w:ascii="Times New Roman" w:eastAsia="Times New Roman" w:hAnsi="Times New Roman" w:cs="Times New Roman"/>
          <w:color w:val="202124"/>
          <w:sz w:val="24"/>
          <w:szCs w:val="24"/>
        </w:rPr>
        <w:t xml:space="preserve">direct parent </w:t>
      </w:r>
      <w:r w:rsidR="00572EE5">
        <w:rPr>
          <w:rFonts w:ascii="Times New Roman" w:eastAsia="Times New Roman" w:hAnsi="Times New Roman" w:cs="Times New Roman"/>
          <w:color w:val="202124"/>
          <w:sz w:val="24"/>
          <w:szCs w:val="24"/>
        </w:rPr>
        <w:t>and changed its name to Johnson &amp; Johnson Consumer Inc.  Pursuant to the divisional merger,</w:t>
      </w:r>
      <w:r w:rsidR="00FE4648">
        <w:rPr>
          <w:rFonts w:ascii="Times New Roman" w:eastAsia="Times New Roman" w:hAnsi="Times New Roman" w:cs="Times New Roman"/>
          <w:color w:val="202124"/>
          <w:sz w:val="24"/>
          <w:szCs w:val="24"/>
        </w:rPr>
        <w:t xml:space="preserve"> </w:t>
      </w:r>
      <w:r w:rsidR="007E3C36" w:rsidRPr="007E3C36">
        <w:rPr>
          <w:rFonts w:ascii="Times New Roman" w:eastAsia="Times New Roman" w:hAnsi="Times New Roman" w:cs="Times New Roman"/>
          <w:color w:val="202124"/>
          <w:sz w:val="24"/>
          <w:szCs w:val="24"/>
        </w:rPr>
        <w:t>LTL receiv</w:t>
      </w:r>
      <w:r w:rsidRPr="00A532EE">
        <w:rPr>
          <w:rFonts w:ascii="Times New Roman" w:eastAsia="Times New Roman" w:hAnsi="Times New Roman" w:cs="Times New Roman"/>
          <w:color w:val="202124"/>
          <w:sz w:val="24"/>
          <w:szCs w:val="24"/>
        </w:rPr>
        <w:t>ed, without limitation:</w:t>
      </w:r>
      <w:r w:rsidR="007E3C36" w:rsidRPr="007E3C36">
        <w:rPr>
          <w:rFonts w:ascii="Times New Roman" w:eastAsia="Times New Roman" w:hAnsi="Times New Roman" w:cs="Times New Roman"/>
          <w:color w:val="202124"/>
          <w:sz w:val="24"/>
          <w:szCs w:val="24"/>
        </w:rPr>
        <w:t xml:space="preserve"> (a) responsibility for all liabilities of Old J</w:t>
      </w:r>
      <w:r w:rsidRPr="00A532EE">
        <w:rPr>
          <w:rFonts w:ascii="Times New Roman" w:eastAsia="Times New Roman" w:hAnsi="Times New Roman" w:cs="Times New Roman"/>
          <w:color w:val="202124"/>
          <w:sz w:val="24"/>
          <w:szCs w:val="24"/>
        </w:rPr>
        <w:t>&amp;J</w:t>
      </w:r>
      <w:r w:rsidR="007E3C36" w:rsidRPr="007E3C36">
        <w:rPr>
          <w:rFonts w:ascii="Times New Roman" w:eastAsia="Times New Roman" w:hAnsi="Times New Roman" w:cs="Times New Roman"/>
          <w:color w:val="202124"/>
          <w:sz w:val="24"/>
          <w:szCs w:val="24"/>
        </w:rPr>
        <w:t xml:space="preserve"> tied to talc-related </w:t>
      </w:r>
      <w:r w:rsidRPr="00A532EE">
        <w:rPr>
          <w:rFonts w:ascii="Times New Roman" w:eastAsia="Times New Roman" w:hAnsi="Times New Roman" w:cs="Times New Roman"/>
          <w:color w:val="202124"/>
          <w:sz w:val="24"/>
          <w:szCs w:val="24"/>
        </w:rPr>
        <w:t>litigation</w:t>
      </w:r>
      <w:r w:rsidR="00A45FCB">
        <w:rPr>
          <w:rFonts w:ascii="Times New Roman" w:eastAsia="Times New Roman" w:hAnsi="Times New Roman" w:cs="Times New Roman"/>
          <w:color w:val="202124"/>
          <w:sz w:val="24"/>
          <w:szCs w:val="24"/>
        </w:rPr>
        <w:t xml:space="preserve">; </w:t>
      </w:r>
      <w:r w:rsidR="007E3C36" w:rsidRPr="007E3C36">
        <w:rPr>
          <w:rFonts w:ascii="Times New Roman" w:eastAsia="Times New Roman" w:hAnsi="Times New Roman" w:cs="Times New Roman"/>
          <w:color w:val="202124"/>
          <w:sz w:val="24"/>
          <w:szCs w:val="24"/>
        </w:rPr>
        <w:t>(b) Old J</w:t>
      </w:r>
      <w:r w:rsidRPr="00A532EE">
        <w:rPr>
          <w:rFonts w:ascii="Times New Roman" w:eastAsia="Times New Roman" w:hAnsi="Times New Roman" w:cs="Times New Roman"/>
          <w:color w:val="202124"/>
          <w:sz w:val="24"/>
          <w:szCs w:val="24"/>
        </w:rPr>
        <w:t>&amp;J</w:t>
      </w:r>
      <w:r w:rsidR="007E3C36" w:rsidRPr="007E3C36">
        <w:rPr>
          <w:rFonts w:ascii="Times New Roman" w:eastAsia="Times New Roman" w:hAnsi="Times New Roman" w:cs="Times New Roman"/>
          <w:color w:val="202124"/>
          <w:sz w:val="24"/>
          <w:szCs w:val="24"/>
        </w:rPr>
        <w:t>’s contracts</w:t>
      </w:r>
      <w:r w:rsidR="00A45FCB">
        <w:rPr>
          <w:rFonts w:ascii="Times New Roman" w:eastAsia="Times New Roman" w:hAnsi="Times New Roman" w:cs="Times New Roman"/>
          <w:color w:val="202124"/>
          <w:sz w:val="24"/>
          <w:szCs w:val="24"/>
        </w:rPr>
        <w:t>; (c) ownership of a North Carolina limited liability company that owns a portfolio of royalty revenue streams from products such as Clorox, Lactaid, Rogaine, and Mylanta;</w:t>
      </w:r>
      <w:r w:rsidR="007E3C36" w:rsidRPr="007E3C36">
        <w:rPr>
          <w:rFonts w:ascii="Times New Roman" w:eastAsia="Times New Roman" w:hAnsi="Times New Roman" w:cs="Times New Roman"/>
          <w:color w:val="202124"/>
          <w:sz w:val="24"/>
          <w:szCs w:val="24"/>
        </w:rPr>
        <w:t xml:space="preserve"> </w:t>
      </w:r>
      <w:r w:rsidRPr="00A532EE">
        <w:rPr>
          <w:rFonts w:ascii="Times New Roman" w:eastAsia="Times New Roman" w:hAnsi="Times New Roman" w:cs="Times New Roman"/>
          <w:color w:val="202124"/>
          <w:sz w:val="24"/>
          <w:szCs w:val="24"/>
        </w:rPr>
        <w:t xml:space="preserve">and </w:t>
      </w:r>
      <w:r w:rsidR="007E3C36" w:rsidRPr="007E3C36">
        <w:rPr>
          <w:rFonts w:ascii="Times New Roman" w:eastAsia="Times New Roman" w:hAnsi="Times New Roman" w:cs="Times New Roman"/>
          <w:color w:val="202124"/>
          <w:sz w:val="24"/>
          <w:szCs w:val="24"/>
        </w:rPr>
        <w:t>(</w:t>
      </w:r>
      <w:r w:rsidR="00526CEB">
        <w:rPr>
          <w:rFonts w:ascii="Times New Roman" w:eastAsia="Times New Roman" w:hAnsi="Times New Roman" w:cs="Times New Roman"/>
          <w:color w:val="202124"/>
          <w:sz w:val="24"/>
          <w:szCs w:val="24"/>
        </w:rPr>
        <w:t>d</w:t>
      </w:r>
      <w:r w:rsidR="007E3C36" w:rsidRPr="007E3C36">
        <w:rPr>
          <w:rFonts w:ascii="Times New Roman" w:eastAsia="Times New Roman" w:hAnsi="Times New Roman" w:cs="Times New Roman"/>
          <w:color w:val="202124"/>
          <w:sz w:val="24"/>
          <w:szCs w:val="24"/>
        </w:rPr>
        <w:t>) $6</w:t>
      </w:r>
      <w:r w:rsidRPr="00A532EE">
        <w:rPr>
          <w:rFonts w:ascii="Times New Roman" w:eastAsia="Times New Roman" w:hAnsi="Times New Roman" w:cs="Times New Roman"/>
          <w:color w:val="202124"/>
          <w:sz w:val="24"/>
          <w:szCs w:val="24"/>
        </w:rPr>
        <w:t>,000,000.00</w:t>
      </w:r>
      <w:r w:rsidR="007E3C36" w:rsidRPr="007E3C36">
        <w:rPr>
          <w:rFonts w:ascii="Times New Roman" w:eastAsia="Times New Roman" w:hAnsi="Times New Roman" w:cs="Times New Roman"/>
          <w:color w:val="202124"/>
          <w:sz w:val="24"/>
          <w:szCs w:val="24"/>
        </w:rPr>
        <w:t xml:space="preserve"> in cash. New J</w:t>
      </w:r>
      <w:r w:rsidRPr="00A532EE">
        <w:rPr>
          <w:rFonts w:ascii="Times New Roman" w:eastAsia="Times New Roman" w:hAnsi="Times New Roman" w:cs="Times New Roman"/>
          <w:color w:val="202124"/>
          <w:sz w:val="24"/>
          <w:szCs w:val="24"/>
        </w:rPr>
        <w:t>&amp;</w:t>
      </w:r>
      <w:r w:rsidR="007E3C36" w:rsidRPr="007E3C36">
        <w:rPr>
          <w:rFonts w:ascii="Times New Roman" w:eastAsia="Times New Roman" w:hAnsi="Times New Roman" w:cs="Times New Roman"/>
          <w:color w:val="202124"/>
          <w:sz w:val="24"/>
          <w:szCs w:val="24"/>
        </w:rPr>
        <w:t>J received all assets and liabilities of Old J</w:t>
      </w:r>
      <w:r w:rsidRPr="00A532EE">
        <w:rPr>
          <w:rFonts w:ascii="Times New Roman" w:eastAsia="Times New Roman" w:hAnsi="Times New Roman" w:cs="Times New Roman"/>
          <w:color w:val="202124"/>
          <w:sz w:val="24"/>
          <w:szCs w:val="24"/>
        </w:rPr>
        <w:t>&amp;</w:t>
      </w:r>
      <w:r w:rsidR="007E3C36" w:rsidRPr="007E3C36">
        <w:rPr>
          <w:rFonts w:ascii="Times New Roman" w:eastAsia="Times New Roman" w:hAnsi="Times New Roman" w:cs="Times New Roman"/>
          <w:color w:val="202124"/>
          <w:sz w:val="24"/>
          <w:szCs w:val="24"/>
        </w:rPr>
        <w:t>J not allocated to LTL</w:t>
      </w:r>
      <w:r w:rsidR="00E9634A">
        <w:rPr>
          <w:rFonts w:ascii="Times New Roman" w:eastAsia="Times New Roman" w:hAnsi="Times New Roman" w:cs="Times New Roman"/>
          <w:color w:val="202124"/>
          <w:sz w:val="24"/>
          <w:szCs w:val="24"/>
        </w:rPr>
        <w:t xml:space="preserve"> – </w:t>
      </w:r>
      <w:r w:rsidRPr="00A532EE">
        <w:rPr>
          <w:rFonts w:ascii="Times New Roman" w:eastAsia="Times New Roman" w:hAnsi="Times New Roman" w:cs="Times New Roman"/>
          <w:color w:val="202124"/>
          <w:sz w:val="24"/>
          <w:szCs w:val="24"/>
        </w:rPr>
        <w:t xml:space="preserve">in essence </w:t>
      </w:r>
      <w:r w:rsidR="00E9634A">
        <w:rPr>
          <w:rFonts w:ascii="Times New Roman" w:eastAsia="Times New Roman" w:hAnsi="Times New Roman" w:cs="Times New Roman"/>
          <w:color w:val="202124"/>
          <w:sz w:val="24"/>
          <w:szCs w:val="24"/>
        </w:rPr>
        <w:t xml:space="preserve">operating as the Parent Company’s </w:t>
      </w:r>
      <w:r w:rsidRPr="00A532EE">
        <w:rPr>
          <w:rFonts w:ascii="Times New Roman" w:eastAsia="Times New Roman" w:hAnsi="Times New Roman" w:cs="Times New Roman"/>
          <w:color w:val="202124"/>
          <w:sz w:val="24"/>
          <w:szCs w:val="24"/>
        </w:rPr>
        <w:t>consumer products subsidiary</w:t>
      </w:r>
      <w:r w:rsidR="00E9634A">
        <w:rPr>
          <w:rFonts w:ascii="Times New Roman" w:eastAsia="Times New Roman" w:hAnsi="Times New Roman" w:cs="Times New Roman"/>
          <w:color w:val="202124"/>
          <w:sz w:val="24"/>
          <w:szCs w:val="24"/>
        </w:rPr>
        <w:t xml:space="preserve"> – </w:t>
      </w:r>
      <w:r w:rsidRPr="00A532EE">
        <w:rPr>
          <w:rFonts w:ascii="Times New Roman" w:eastAsia="Times New Roman" w:hAnsi="Times New Roman" w:cs="Times New Roman"/>
          <w:color w:val="202124"/>
          <w:sz w:val="24"/>
          <w:szCs w:val="24"/>
        </w:rPr>
        <w:t>free of the talc-related litigation liabilities</w:t>
      </w:r>
      <w:r w:rsidR="007E3C36" w:rsidRPr="007E3C36">
        <w:rPr>
          <w:rFonts w:ascii="Times New Roman" w:eastAsia="Times New Roman" w:hAnsi="Times New Roman" w:cs="Times New Roman"/>
          <w:color w:val="202124"/>
          <w:sz w:val="24"/>
          <w:szCs w:val="24"/>
        </w:rPr>
        <w:t>.</w:t>
      </w:r>
    </w:p>
    <w:p w14:paraId="28AE4675" w14:textId="2057D026" w:rsidR="007E3C36" w:rsidRPr="007E3C36" w:rsidRDefault="00742225" w:rsidP="00015802">
      <w:pPr>
        <w:spacing w:after="0" w:line="480" w:lineRule="auto"/>
        <w:ind w:firstLine="720"/>
        <w:jc w:val="both"/>
        <w:textAlignment w:val="baseline"/>
        <w:rPr>
          <w:rFonts w:ascii="Times New Roman" w:eastAsia="Times New Roman" w:hAnsi="Times New Roman" w:cs="Times New Roman"/>
          <w:color w:val="202124"/>
          <w:sz w:val="24"/>
          <w:szCs w:val="24"/>
        </w:rPr>
      </w:pPr>
      <w:r w:rsidRPr="006C4F87">
        <w:rPr>
          <w:rFonts w:ascii="Times New Roman" w:eastAsia="Times New Roman" w:hAnsi="Times New Roman" w:cs="Times New Roman"/>
          <w:color w:val="202124"/>
          <w:sz w:val="24"/>
          <w:szCs w:val="24"/>
        </w:rPr>
        <w:t xml:space="preserve">The divisional merger </w:t>
      </w:r>
      <w:r w:rsidR="007E3C36" w:rsidRPr="007E3C36">
        <w:rPr>
          <w:rFonts w:ascii="Times New Roman" w:eastAsia="Times New Roman" w:hAnsi="Times New Roman" w:cs="Times New Roman"/>
          <w:color w:val="202124"/>
          <w:sz w:val="24"/>
          <w:szCs w:val="24"/>
        </w:rPr>
        <w:t xml:space="preserve">also created a funding agreement </w:t>
      </w:r>
      <w:r w:rsidR="002074A7">
        <w:rPr>
          <w:rFonts w:ascii="Times New Roman" w:eastAsia="Times New Roman" w:hAnsi="Times New Roman" w:cs="Times New Roman"/>
          <w:color w:val="202124"/>
          <w:sz w:val="24"/>
          <w:szCs w:val="24"/>
        </w:rPr>
        <w:t xml:space="preserve">that </w:t>
      </w:r>
      <w:r w:rsidR="007E3C36" w:rsidRPr="007E3C36">
        <w:rPr>
          <w:rFonts w:ascii="Times New Roman" w:eastAsia="Times New Roman" w:hAnsi="Times New Roman" w:cs="Times New Roman"/>
          <w:color w:val="202124"/>
          <w:sz w:val="24"/>
          <w:szCs w:val="24"/>
        </w:rPr>
        <w:t>gave LTL rights to funding from New J</w:t>
      </w:r>
      <w:r w:rsidRPr="006C4F87">
        <w:rPr>
          <w:rFonts w:ascii="Times New Roman" w:eastAsia="Times New Roman" w:hAnsi="Times New Roman" w:cs="Times New Roman"/>
          <w:color w:val="202124"/>
          <w:sz w:val="24"/>
          <w:szCs w:val="24"/>
        </w:rPr>
        <w:t>&amp;</w:t>
      </w:r>
      <w:r w:rsidR="007E3C36" w:rsidRPr="007E3C36">
        <w:rPr>
          <w:rFonts w:ascii="Times New Roman" w:eastAsia="Times New Roman" w:hAnsi="Times New Roman" w:cs="Times New Roman"/>
          <w:color w:val="202124"/>
          <w:sz w:val="24"/>
          <w:szCs w:val="24"/>
        </w:rPr>
        <w:t xml:space="preserve">J and </w:t>
      </w:r>
      <w:r w:rsidRPr="006C4F87">
        <w:rPr>
          <w:rFonts w:ascii="Times New Roman" w:eastAsia="Times New Roman" w:hAnsi="Times New Roman" w:cs="Times New Roman"/>
          <w:color w:val="202124"/>
          <w:sz w:val="24"/>
          <w:szCs w:val="24"/>
        </w:rPr>
        <w:t xml:space="preserve">the </w:t>
      </w:r>
      <w:r w:rsidR="00572EE5">
        <w:rPr>
          <w:rFonts w:ascii="Times New Roman" w:eastAsia="Times New Roman" w:hAnsi="Times New Roman" w:cs="Times New Roman"/>
          <w:color w:val="202124"/>
          <w:sz w:val="24"/>
          <w:szCs w:val="24"/>
        </w:rPr>
        <w:t>P</w:t>
      </w:r>
      <w:r w:rsidRPr="006C4F87">
        <w:rPr>
          <w:rFonts w:ascii="Times New Roman" w:eastAsia="Times New Roman" w:hAnsi="Times New Roman" w:cs="Times New Roman"/>
          <w:color w:val="202124"/>
          <w:sz w:val="24"/>
          <w:szCs w:val="24"/>
        </w:rPr>
        <w:t xml:space="preserve">arent </w:t>
      </w:r>
      <w:r w:rsidR="00572EE5">
        <w:rPr>
          <w:rFonts w:ascii="Times New Roman" w:eastAsia="Times New Roman" w:hAnsi="Times New Roman" w:cs="Times New Roman"/>
          <w:color w:val="202124"/>
          <w:sz w:val="24"/>
          <w:szCs w:val="24"/>
        </w:rPr>
        <w:t>C</w:t>
      </w:r>
      <w:r w:rsidRPr="006C4F87">
        <w:rPr>
          <w:rFonts w:ascii="Times New Roman" w:eastAsia="Times New Roman" w:hAnsi="Times New Roman" w:cs="Times New Roman"/>
          <w:color w:val="202124"/>
          <w:sz w:val="24"/>
          <w:szCs w:val="24"/>
        </w:rPr>
        <w:t>ompany</w:t>
      </w:r>
      <w:r w:rsidR="002074A7">
        <w:rPr>
          <w:rFonts w:ascii="Times New Roman" w:eastAsia="Times New Roman" w:hAnsi="Times New Roman" w:cs="Times New Roman"/>
          <w:color w:val="202124"/>
          <w:sz w:val="24"/>
          <w:szCs w:val="24"/>
        </w:rPr>
        <w:t xml:space="preserve"> (the “Funding Agreement”)</w:t>
      </w:r>
      <w:r w:rsidRPr="006C4F87">
        <w:rPr>
          <w:rFonts w:ascii="Times New Roman" w:eastAsia="Times New Roman" w:hAnsi="Times New Roman" w:cs="Times New Roman"/>
          <w:color w:val="202124"/>
          <w:sz w:val="24"/>
          <w:szCs w:val="24"/>
        </w:rPr>
        <w:t xml:space="preserve">. </w:t>
      </w:r>
      <w:r w:rsidR="002074A7">
        <w:rPr>
          <w:rFonts w:ascii="Times New Roman" w:eastAsia="Times New Roman" w:hAnsi="Times New Roman" w:cs="Times New Roman"/>
          <w:color w:val="202124"/>
          <w:sz w:val="24"/>
          <w:szCs w:val="24"/>
        </w:rPr>
        <w:t xml:space="preserve"> The Funding Agreement provided that o</w:t>
      </w:r>
      <w:r w:rsidRPr="006C4F87">
        <w:rPr>
          <w:rFonts w:ascii="Times New Roman" w:eastAsia="Times New Roman" w:hAnsi="Times New Roman" w:cs="Times New Roman"/>
          <w:color w:val="202124"/>
          <w:sz w:val="24"/>
          <w:szCs w:val="24"/>
        </w:rPr>
        <w:t xml:space="preserve">utside of bankruptcy, LTL was entitled to direct a cash infusion from </w:t>
      </w:r>
      <w:r w:rsidR="007E3C36" w:rsidRPr="007E3C36">
        <w:rPr>
          <w:rFonts w:ascii="Times New Roman" w:eastAsia="Times New Roman" w:hAnsi="Times New Roman" w:cs="Times New Roman"/>
          <w:color w:val="202124"/>
          <w:sz w:val="24"/>
          <w:szCs w:val="24"/>
        </w:rPr>
        <w:t>New J</w:t>
      </w:r>
      <w:r w:rsidRPr="006C4F87">
        <w:rPr>
          <w:rFonts w:ascii="Times New Roman" w:eastAsia="Times New Roman" w:hAnsi="Times New Roman" w:cs="Times New Roman"/>
          <w:color w:val="202124"/>
          <w:sz w:val="24"/>
          <w:szCs w:val="24"/>
        </w:rPr>
        <w:t xml:space="preserve">&amp;J and </w:t>
      </w:r>
      <w:r w:rsidRPr="006C4F87">
        <w:rPr>
          <w:rFonts w:ascii="Times New Roman" w:eastAsia="Times New Roman" w:hAnsi="Times New Roman" w:cs="Times New Roman"/>
          <w:color w:val="202124"/>
          <w:sz w:val="24"/>
          <w:szCs w:val="24"/>
        </w:rPr>
        <w:lastRenderedPageBreak/>
        <w:t xml:space="preserve">the </w:t>
      </w:r>
      <w:r w:rsidR="00572EE5">
        <w:rPr>
          <w:rFonts w:ascii="Times New Roman" w:eastAsia="Times New Roman" w:hAnsi="Times New Roman" w:cs="Times New Roman"/>
          <w:color w:val="202124"/>
          <w:sz w:val="24"/>
          <w:szCs w:val="24"/>
        </w:rPr>
        <w:t>P</w:t>
      </w:r>
      <w:r w:rsidRPr="006C4F87">
        <w:rPr>
          <w:rFonts w:ascii="Times New Roman" w:eastAsia="Times New Roman" w:hAnsi="Times New Roman" w:cs="Times New Roman"/>
          <w:color w:val="202124"/>
          <w:sz w:val="24"/>
          <w:szCs w:val="24"/>
        </w:rPr>
        <w:t xml:space="preserve">arent </w:t>
      </w:r>
      <w:r w:rsidR="00572EE5">
        <w:rPr>
          <w:rFonts w:ascii="Times New Roman" w:eastAsia="Times New Roman" w:hAnsi="Times New Roman" w:cs="Times New Roman"/>
          <w:color w:val="202124"/>
          <w:sz w:val="24"/>
          <w:szCs w:val="24"/>
        </w:rPr>
        <w:t>C</w:t>
      </w:r>
      <w:r w:rsidRPr="006C4F87">
        <w:rPr>
          <w:rFonts w:ascii="Times New Roman" w:eastAsia="Times New Roman" w:hAnsi="Times New Roman" w:cs="Times New Roman"/>
          <w:color w:val="202124"/>
          <w:sz w:val="24"/>
          <w:szCs w:val="24"/>
        </w:rPr>
        <w:t>ompany up</w:t>
      </w:r>
      <w:r w:rsidR="007E3C36" w:rsidRPr="007E3C36">
        <w:rPr>
          <w:rFonts w:ascii="Times New Roman" w:eastAsia="Times New Roman" w:hAnsi="Times New Roman" w:cs="Times New Roman"/>
          <w:color w:val="202124"/>
          <w:sz w:val="24"/>
          <w:szCs w:val="24"/>
        </w:rPr>
        <w:t xml:space="preserve"> to the value of New J</w:t>
      </w:r>
      <w:r w:rsidRPr="006C4F87">
        <w:rPr>
          <w:rFonts w:ascii="Times New Roman" w:eastAsia="Times New Roman" w:hAnsi="Times New Roman" w:cs="Times New Roman"/>
          <w:color w:val="202124"/>
          <w:sz w:val="24"/>
          <w:szCs w:val="24"/>
        </w:rPr>
        <w:t xml:space="preserve">&amp;J </w:t>
      </w:r>
      <w:r w:rsidR="007E3C36" w:rsidRPr="007E3C36">
        <w:rPr>
          <w:rFonts w:ascii="Times New Roman" w:eastAsia="Times New Roman" w:hAnsi="Times New Roman" w:cs="Times New Roman"/>
          <w:color w:val="202124"/>
          <w:sz w:val="24"/>
          <w:szCs w:val="24"/>
        </w:rPr>
        <w:t xml:space="preserve">for purposes of satisfying talc-related costs. </w:t>
      </w:r>
      <w:r w:rsidRPr="006C4F87">
        <w:rPr>
          <w:rFonts w:ascii="Times New Roman" w:eastAsia="Times New Roman" w:hAnsi="Times New Roman" w:cs="Times New Roman"/>
          <w:color w:val="202124"/>
          <w:sz w:val="24"/>
          <w:szCs w:val="24"/>
        </w:rPr>
        <w:t xml:space="preserve"> </w:t>
      </w:r>
      <w:r w:rsidR="002074A7">
        <w:rPr>
          <w:rFonts w:ascii="Times New Roman" w:eastAsia="Times New Roman" w:hAnsi="Times New Roman" w:cs="Times New Roman"/>
          <w:color w:val="202124"/>
          <w:sz w:val="24"/>
          <w:szCs w:val="24"/>
        </w:rPr>
        <w:t>The Funding Agreement provided that i</w:t>
      </w:r>
      <w:r w:rsidRPr="006C4F87">
        <w:rPr>
          <w:rFonts w:ascii="Times New Roman" w:eastAsia="Times New Roman" w:hAnsi="Times New Roman" w:cs="Times New Roman"/>
          <w:color w:val="202124"/>
          <w:sz w:val="24"/>
          <w:szCs w:val="24"/>
        </w:rPr>
        <w:t xml:space="preserve">nside of bankruptcy, </w:t>
      </w:r>
      <w:r w:rsidR="007E3C36" w:rsidRPr="007E3C36">
        <w:rPr>
          <w:rFonts w:ascii="Times New Roman" w:eastAsia="Times New Roman" w:hAnsi="Times New Roman" w:cs="Times New Roman"/>
          <w:color w:val="202124"/>
          <w:sz w:val="24"/>
          <w:szCs w:val="24"/>
        </w:rPr>
        <w:t xml:space="preserve">LTL </w:t>
      </w:r>
      <w:r w:rsidR="006C4F87" w:rsidRPr="006C4F87">
        <w:rPr>
          <w:rFonts w:ascii="Times New Roman" w:eastAsia="Times New Roman" w:hAnsi="Times New Roman" w:cs="Times New Roman"/>
          <w:color w:val="202124"/>
          <w:sz w:val="24"/>
          <w:szCs w:val="24"/>
        </w:rPr>
        <w:t>was entitled to a cash infusion from New J&amp;J and the</w:t>
      </w:r>
      <w:r w:rsidR="00572EE5">
        <w:rPr>
          <w:rFonts w:ascii="Times New Roman" w:eastAsia="Times New Roman" w:hAnsi="Times New Roman" w:cs="Times New Roman"/>
          <w:color w:val="202124"/>
          <w:sz w:val="24"/>
          <w:szCs w:val="24"/>
        </w:rPr>
        <w:t xml:space="preserve"> P</w:t>
      </w:r>
      <w:r w:rsidR="006C4F87" w:rsidRPr="006C4F87">
        <w:rPr>
          <w:rFonts w:ascii="Times New Roman" w:eastAsia="Times New Roman" w:hAnsi="Times New Roman" w:cs="Times New Roman"/>
          <w:color w:val="202124"/>
          <w:sz w:val="24"/>
          <w:szCs w:val="24"/>
        </w:rPr>
        <w:t xml:space="preserve">arent </w:t>
      </w:r>
      <w:r w:rsidR="00572EE5">
        <w:rPr>
          <w:rFonts w:ascii="Times New Roman" w:eastAsia="Times New Roman" w:hAnsi="Times New Roman" w:cs="Times New Roman"/>
          <w:color w:val="202124"/>
          <w:sz w:val="24"/>
          <w:szCs w:val="24"/>
        </w:rPr>
        <w:t>C</w:t>
      </w:r>
      <w:r w:rsidR="006C4F87" w:rsidRPr="006C4F87">
        <w:rPr>
          <w:rFonts w:ascii="Times New Roman" w:eastAsia="Times New Roman" w:hAnsi="Times New Roman" w:cs="Times New Roman"/>
          <w:color w:val="202124"/>
          <w:sz w:val="24"/>
          <w:szCs w:val="24"/>
        </w:rPr>
        <w:t xml:space="preserve">ompany </w:t>
      </w:r>
      <w:r w:rsidR="007E3C36" w:rsidRPr="007E3C36">
        <w:rPr>
          <w:rFonts w:ascii="Times New Roman" w:eastAsia="Times New Roman" w:hAnsi="Times New Roman" w:cs="Times New Roman"/>
          <w:color w:val="202124"/>
          <w:sz w:val="24"/>
          <w:szCs w:val="24"/>
        </w:rPr>
        <w:t xml:space="preserve">in an amount to satisfy its administrative costs in bankruptcy and to fund a talc-related trust created through the bankruptcy. </w:t>
      </w:r>
      <w:r w:rsidR="006C4F87" w:rsidRPr="006C4F87">
        <w:rPr>
          <w:rFonts w:ascii="Times New Roman" w:eastAsia="Times New Roman" w:hAnsi="Times New Roman" w:cs="Times New Roman"/>
          <w:color w:val="202124"/>
          <w:sz w:val="24"/>
          <w:szCs w:val="24"/>
        </w:rPr>
        <w:t>T</w:t>
      </w:r>
      <w:r w:rsidR="007E3C36" w:rsidRPr="007E3C36">
        <w:rPr>
          <w:rFonts w:ascii="Times New Roman" w:eastAsia="Times New Roman" w:hAnsi="Times New Roman" w:cs="Times New Roman"/>
          <w:color w:val="202124"/>
          <w:sz w:val="24"/>
          <w:szCs w:val="24"/>
        </w:rPr>
        <w:t xml:space="preserve">he amount of any payment could not drop below the value of New </w:t>
      </w:r>
      <w:r w:rsidR="006C4F87" w:rsidRPr="006C4F87">
        <w:rPr>
          <w:rFonts w:ascii="Times New Roman" w:eastAsia="Times New Roman" w:hAnsi="Times New Roman" w:cs="Times New Roman"/>
          <w:color w:val="202124"/>
          <w:sz w:val="24"/>
          <w:szCs w:val="24"/>
        </w:rPr>
        <w:t>J&amp;J</w:t>
      </w:r>
      <w:r w:rsidR="007E3C36" w:rsidRPr="007E3C36">
        <w:rPr>
          <w:rFonts w:ascii="Times New Roman" w:eastAsia="Times New Roman" w:hAnsi="Times New Roman" w:cs="Times New Roman"/>
          <w:color w:val="202124"/>
          <w:sz w:val="24"/>
          <w:szCs w:val="24"/>
        </w:rPr>
        <w:t xml:space="preserve"> as of the time of the </w:t>
      </w:r>
      <w:r w:rsidR="006C4F87" w:rsidRPr="006C4F87">
        <w:rPr>
          <w:rFonts w:ascii="Times New Roman" w:eastAsia="Times New Roman" w:hAnsi="Times New Roman" w:cs="Times New Roman"/>
          <w:color w:val="202124"/>
          <w:sz w:val="24"/>
          <w:szCs w:val="24"/>
        </w:rPr>
        <w:t xml:space="preserve">divisive </w:t>
      </w:r>
      <w:r w:rsidR="007E3C36" w:rsidRPr="007E3C36">
        <w:rPr>
          <w:rFonts w:ascii="Times New Roman" w:eastAsia="Times New Roman" w:hAnsi="Times New Roman" w:cs="Times New Roman"/>
          <w:color w:val="202124"/>
          <w:sz w:val="24"/>
          <w:szCs w:val="24"/>
        </w:rPr>
        <w:t xml:space="preserve">merger (approximately $61.5 billion), but it was not capped and could potentially grow with any increase in </w:t>
      </w:r>
      <w:r w:rsidR="00E9634A">
        <w:rPr>
          <w:rFonts w:ascii="Times New Roman" w:eastAsia="Times New Roman" w:hAnsi="Times New Roman" w:cs="Times New Roman"/>
          <w:color w:val="202124"/>
          <w:sz w:val="24"/>
          <w:szCs w:val="24"/>
        </w:rPr>
        <w:t xml:space="preserve">the </w:t>
      </w:r>
      <w:r w:rsidR="007E3C36" w:rsidRPr="007E3C36">
        <w:rPr>
          <w:rFonts w:ascii="Times New Roman" w:eastAsia="Times New Roman" w:hAnsi="Times New Roman" w:cs="Times New Roman"/>
          <w:color w:val="202124"/>
          <w:sz w:val="24"/>
          <w:szCs w:val="24"/>
        </w:rPr>
        <w:t xml:space="preserve">value of New </w:t>
      </w:r>
      <w:r w:rsidR="006C4F87" w:rsidRPr="006C4F87">
        <w:rPr>
          <w:rFonts w:ascii="Times New Roman" w:eastAsia="Times New Roman" w:hAnsi="Times New Roman" w:cs="Times New Roman"/>
          <w:color w:val="202124"/>
          <w:sz w:val="24"/>
          <w:szCs w:val="24"/>
        </w:rPr>
        <w:t>J&amp;J</w:t>
      </w:r>
      <w:r w:rsidR="007E3C36" w:rsidRPr="007E3C36">
        <w:rPr>
          <w:rFonts w:ascii="Times New Roman" w:eastAsia="Times New Roman" w:hAnsi="Times New Roman" w:cs="Times New Roman"/>
          <w:color w:val="202124"/>
          <w:sz w:val="24"/>
          <w:szCs w:val="24"/>
        </w:rPr>
        <w:t>.</w:t>
      </w:r>
    </w:p>
    <w:p w14:paraId="273A7689" w14:textId="77777777" w:rsidR="007E3C36" w:rsidRPr="00015802" w:rsidRDefault="007E3C36" w:rsidP="00015802">
      <w:pPr>
        <w:spacing w:after="0" w:line="480" w:lineRule="auto"/>
        <w:jc w:val="both"/>
        <w:rPr>
          <w:rFonts w:ascii="Times New Roman" w:hAnsi="Times New Roman" w:cs="Times New Roman"/>
          <w:b/>
          <w:bCs/>
          <w:sz w:val="24"/>
          <w:szCs w:val="24"/>
        </w:rPr>
      </w:pPr>
      <w:r w:rsidRPr="00015802">
        <w:rPr>
          <w:rFonts w:ascii="Times New Roman" w:hAnsi="Times New Roman" w:cs="Times New Roman"/>
          <w:b/>
          <w:bCs/>
          <w:sz w:val="24"/>
          <w:szCs w:val="24"/>
        </w:rPr>
        <w:t>Original Bankruptcy Venue</w:t>
      </w:r>
    </w:p>
    <w:p w14:paraId="61524B8A" w14:textId="3EF9B157" w:rsidR="007E3C36" w:rsidRPr="00015802" w:rsidRDefault="006C4F87" w:rsidP="00015802">
      <w:pPr>
        <w:spacing w:after="0" w:line="480" w:lineRule="auto"/>
        <w:ind w:firstLine="720"/>
        <w:jc w:val="both"/>
        <w:rPr>
          <w:rFonts w:ascii="Times New Roman" w:hAnsi="Times New Roman" w:cs="Times New Roman"/>
          <w:color w:val="202124"/>
          <w:sz w:val="24"/>
          <w:szCs w:val="24"/>
        </w:rPr>
      </w:pPr>
      <w:r w:rsidRPr="006C4F87">
        <w:rPr>
          <w:rFonts w:ascii="Times New Roman" w:hAnsi="Times New Roman" w:cs="Times New Roman"/>
          <w:color w:val="202124"/>
          <w:sz w:val="24"/>
          <w:szCs w:val="24"/>
        </w:rPr>
        <w:t>T</w:t>
      </w:r>
      <w:r w:rsidR="007E3C36" w:rsidRPr="006C4F87">
        <w:rPr>
          <w:rFonts w:ascii="Times New Roman" w:hAnsi="Times New Roman" w:cs="Times New Roman"/>
          <w:color w:val="202124"/>
          <w:sz w:val="24"/>
          <w:szCs w:val="24"/>
        </w:rPr>
        <w:t xml:space="preserve">wo days after </w:t>
      </w:r>
      <w:r w:rsidR="00E9634A" w:rsidRPr="006C4F87">
        <w:rPr>
          <w:rFonts w:ascii="Times New Roman" w:hAnsi="Times New Roman" w:cs="Times New Roman"/>
          <w:color w:val="202124"/>
          <w:sz w:val="24"/>
          <w:szCs w:val="24"/>
        </w:rPr>
        <w:t>Old J&amp;J</w:t>
      </w:r>
      <w:r w:rsidR="00E9634A">
        <w:rPr>
          <w:rFonts w:ascii="Times New Roman" w:hAnsi="Times New Roman" w:cs="Times New Roman"/>
          <w:color w:val="202124"/>
          <w:sz w:val="24"/>
          <w:szCs w:val="24"/>
        </w:rPr>
        <w:t>’s</w:t>
      </w:r>
      <w:r w:rsidR="007E3C36" w:rsidRPr="006C4F87">
        <w:rPr>
          <w:rFonts w:ascii="Times New Roman" w:hAnsi="Times New Roman" w:cs="Times New Roman"/>
          <w:color w:val="202124"/>
          <w:sz w:val="24"/>
          <w:szCs w:val="24"/>
        </w:rPr>
        <w:t xml:space="preserve"> divisional merger, LTL filed for Chapter 11 protection in the Bankruptcy Court for the Western District of North Carolina.</w:t>
      </w:r>
      <w:r w:rsidR="007E3C36" w:rsidRPr="00015802">
        <w:rPr>
          <w:rFonts w:ascii="Times New Roman" w:hAnsi="Times New Roman" w:cs="Times New Roman"/>
          <w:color w:val="202124"/>
          <w:sz w:val="24"/>
          <w:szCs w:val="24"/>
        </w:rPr>
        <w:t> </w:t>
      </w:r>
      <w:r w:rsidR="00015802">
        <w:rPr>
          <w:rFonts w:ascii="Times New Roman" w:hAnsi="Times New Roman" w:cs="Times New Roman"/>
          <w:color w:val="202124"/>
          <w:sz w:val="24"/>
          <w:szCs w:val="24"/>
        </w:rPr>
        <w:t xml:space="preserve"> </w:t>
      </w:r>
      <w:r w:rsidR="007E3C36" w:rsidRPr="00015802">
        <w:rPr>
          <w:rFonts w:ascii="Times New Roman" w:hAnsi="Times New Roman" w:cs="Times New Roman"/>
          <w:sz w:val="24"/>
          <w:szCs w:val="24"/>
        </w:rPr>
        <w:t xml:space="preserve">The strategy behind </w:t>
      </w:r>
      <w:r>
        <w:rPr>
          <w:rFonts w:ascii="Times New Roman" w:hAnsi="Times New Roman" w:cs="Times New Roman"/>
          <w:sz w:val="24"/>
          <w:szCs w:val="24"/>
        </w:rPr>
        <w:t xml:space="preserve">LTL’s </w:t>
      </w:r>
      <w:r w:rsidR="007E3C36" w:rsidRPr="00015802">
        <w:rPr>
          <w:rFonts w:ascii="Times New Roman" w:hAnsi="Times New Roman" w:cs="Times New Roman"/>
          <w:sz w:val="24"/>
          <w:szCs w:val="24"/>
        </w:rPr>
        <w:t xml:space="preserve">filing in the Western District of North Carolina almost </w:t>
      </w:r>
      <w:r>
        <w:rPr>
          <w:rFonts w:ascii="Times New Roman" w:hAnsi="Times New Roman" w:cs="Times New Roman"/>
          <w:sz w:val="24"/>
          <w:szCs w:val="24"/>
        </w:rPr>
        <w:t xml:space="preserve">certainly </w:t>
      </w:r>
      <w:r w:rsidR="007E3C36" w:rsidRPr="00015802">
        <w:rPr>
          <w:rFonts w:ascii="Times New Roman" w:hAnsi="Times New Roman" w:cs="Times New Roman"/>
          <w:sz w:val="24"/>
          <w:szCs w:val="24"/>
        </w:rPr>
        <w:t xml:space="preserve">was driven by </w:t>
      </w:r>
      <w:r w:rsidR="007E3C36" w:rsidRPr="00015802">
        <w:rPr>
          <w:rFonts w:ascii="Times New Roman" w:hAnsi="Times New Roman" w:cs="Times New Roman"/>
          <w:i/>
          <w:iCs/>
          <w:sz w:val="24"/>
          <w:szCs w:val="24"/>
        </w:rPr>
        <w:t>In re Bestwall LLC</w:t>
      </w:r>
      <w:r w:rsidR="007E3C36" w:rsidRPr="00015802">
        <w:rPr>
          <w:rFonts w:ascii="Times New Roman" w:hAnsi="Times New Roman" w:cs="Times New Roman"/>
          <w:sz w:val="24"/>
          <w:szCs w:val="24"/>
        </w:rPr>
        <w:t>, 605 B.R. 43 (</w:t>
      </w:r>
      <w:proofErr w:type="spellStart"/>
      <w:r w:rsidR="007E3C36" w:rsidRPr="00015802">
        <w:rPr>
          <w:rFonts w:ascii="Times New Roman" w:hAnsi="Times New Roman" w:cs="Times New Roman"/>
          <w:sz w:val="24"/>
          <w:szCs w:val="24"/>
        </w:rPr>
        <w:t>Bankr</w:t>
      </w:r>
      <w:proofErr w:type="spellEnd"/>
      <w:r w:rsidR="007E3C36" w:rsidRPr="00015802">
        <w:rPr>
          <w:rFonts w:ascii="Times New Roman" w:hAnsi="Times New Roman" w:cs="Times New Roman"/>
          <w:sz w:val="24"/>
          <w:szCs w:val="24"/>
        </w:rPr>
        <w:t>. W.D.N.C. 2019)</w:t>
      </w:r>
      <w:r w:rsidR="00CF2540">
        <w:rPr>
          <w:rFonts w:ascii="Times New Roman" w:hAnsi="Times New Roman" w:cs="Times New Roman"/>
          <w:sz w:val="24"/>
          <w:szCs w:val="24"/>
        </w:rPr>
        <w:t xml:space="preserve"> and its progeny</w:t>
      </w:r>
      <w:r>
        <w:rPr>
          <w:rFonts w:ascii="Times New Roman" w:hAnsi="Times New Roman" w:cs="Times New Roman"/>
          <w:sz w:val="24"/>
          <w:szCs w:val="24"/>
        </w:rPr>
        <w:t xml:space="preserve">.  In the </w:t>
      </w:r>
      <w:r w:rsidRPr="006C4F87">
        <w:rPr>
          <w:rFonts w:ascii="Times New Roman" w:hAnsi="Times New Roman" w:cs="Times New Roman"/>
          <w:i/>
          <w:iCs/>
          <w:sz w:val="24"/>
          <w:szCs w:val="24"/>
        </w:rPr>
        <w:t>Bestwall</w:t>
      </w:r>
      <w:r>
        <w:rPr>
          <w:rFonts w:ascii="Times New Roman" w:hAnsi="Times New Roman" w:cs="Times New Roman"/>
          <w:sz w:val="24"/>
          <w:szCs w:val="24"/>
        </w:rPr>
        <w:t xml:space="preserve"> case, </w:t>
      </w:r>
      <w:r w:rsidR="007E3C36" w:rsidRPr="00015802">
        <w:rPr>
          <w:rFonts w:ascii="Times New Roman" w:hAnsi="Times New Roman" w:cs="Times New Roman"/>
          <w:sz w:val="24"/>
          <w:szCs w:val="24"/>
        </w:rPr>
        <w:t xml:space="preserve">the court denied a motion to dismiss </w:t>
      </w:r>
      <w:r>
        <w:rPr>
          <w:rFonts w:ascii="Times New Roman" w:hAnsi="Times New Roman" w:cs="Times New Roman"/>
          <w:sz w:val="24"/>
          <w:szCs w:val="24"/>
        </w:rPr>
        <w:t xml:space="preserve">a case involving a debtor created </w:t>
      </w:r>
      <w:r w:rsidR="00E9634A">
        <w:rPr>
          <w:rFonts w:ascii="Times New Roman" w:hAnsi="Times New Roman" w:cs="Times New Roman"/>
          <w:sz w:val="24"/>
          <w:szCs w:val="24"/>
        </w:rPr>
        <w:t>via</w:t>
      </w:r>
      <w:r>
        <w:rPr>
          <w:rFonts w:ascii="Times New Roman" w:hAnsi="Times New Roman" w:cs="Times New Roman"/>
          <w:sz w:val="24"/>
          <w:szCs w:val="24"/>
        </w:rPr>
        <w:t xml:space="preserve"> </w:t>
      </w:r>
      <w:r w:rsidR="00CF2540">
        <w:rPr>
          <w:rFonts w:ascii="Times New Roman" w:hAnsi="Times New Roman" w:cs="Times New Roman"/>
          <w:sz w:val="24"/>
          <w:szCs w:val="24"/>
        </w:rPr>
        <w:t>Texas Two-Step</w:t>
      </w:r>
      <w:r>
        <w:rPr>
          <w:rFonts w:ascii="Times New Roman" w:hAnsi="Times New Roman" w:cs="Times New Roman"/>
          <w:sz w:val="24"/>
          <w:szCs w:val="24"/>
        </w:rPr>
        <w:t xml:space="preserve"> w</w:t>
      </w:r>
      <w:r w:rsidR="007E3C36" w:rsidRPr="00015802">
        <w:rPr>
          <w:rFonts w:ascii="Times New Roman" w:hAnsi="Times New Roman" w:cs="Times New Roman"/>
          <w:sz w:val="24"/>
          <w:szCs w:val="24"/>
        </w:rPr>
        <w:t xml:space="preserve">ithout reaching </w:t>
      </w:r>
      <w:r w:rsidR="00445AFE">
        <w:rPr>
          <w:rFonts w:ascii="Times New Roman" w:hAnsi="Times New Roman" w:cs="Times New Roman"/>
          <w:sz w:val="24"/>
          <w:szCs w:val="24"/>
        </w:rPr>
        <w:t xml:space="preserve">the </w:t>
      </w:r>
      <w:r w:rsidR="007E3C36" w:rsidRPr="00015802">
        <w:rPr>
          <w:rFonts w:ascii="Times New Roman" w:hAnsi="Times New Roman" w:cs="Times New Roman"/>
          <w:sz w:val="24"/>
          <w:szCs w:val="24"/>
        </w:rPr>
        <w:t xml:space="preserve">issue of bad faith, </w:t>
      </w:r>
      <w:r>
        <w:rPr>
          <w:rFonts w:ascii="Times New Roman" w:hAnsi="Times New Roman" w:cs="Times New Roman"/>
          <w:sz w:val="24"/>
          <w:szCs w:val="24"/>
        </w:rPr>
        <w:t xml:space="preserve">limiting it analysis to a determination </w:t>
      </w:r>
      <w:r w:rsidR="007E3C36" w:rsidRPr="00015802">
        <w:rPr>
          <w:rFonts w:ascii="Times New Roman" w:hAnsi="Times New Roman" w:cs="Times New Roman"/>
          <w:sz w:val="24"/>
          <w:szCs w:val="24"/>
        </w:rPr>
        <w:t xml:space="preserve">that the debtor was capable of reorganizing under </w:t>
      </w:r>
      <w:r w:rsidR="00445AFE">
        <w:rPr>
          <w:rFonts w:ascii="Times New Roman" w:hAnsi="Times New Roman" w:cs="Times New Roman"/>
          <w:sz w:val="24"/>
          <w:szCs w:val="24"/>
        </w:rPr>
        <w:t>C</w:t>
      </w:r>
      <w:r w:rsidR="007E3C36" w:rsidRPr="00015802">
        <w:rPr>
          <w:rFonts w:ascii="Times New Roman" w:hAnsi="Times New Roman" w:cs="Times New Roman"/>
          <w:sz w:val="24"/>
          <w:szCs w:val="24"/>
        </w:rPr>
        <w:t>hapter 11.</w:t>
      </w:r>
      <w:r w:rsidR="00396B77">
        <w:rPr>
          <w:rFonts w:ascii="Times New Roman" w:hAnsi="Times New Roman" w:cs="Times New Roman"/>
          <w:sz w:val="24"/>
          <w:szCs w:val="24"/>
        </w:rPr>
        <w:t xml:space="preserve">  </w:t>
      </w:r>
    </w:p>
    <w:p w14:paraId="65C00C4F" w14:textId="02ADC7C8" w:rsidR="007E3C36" w:rsidRPr="00015802" w:rsidRDefault="00AA7B69" w:rsidP="000158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7E3C36" w:rsidRPr="00015802">
        <w:rPr>
          <w:rFonts w:ascii="Times New Roman" w:hAnsi="Times New Roman" w:cs="Times New Roman"/>
          <w:sz w:val="24"/>
          <w:szCs w:val="24"/>
        </w:rPr>
        <w:t xml:space="preserve">Bankruptcy Administrator called out </w:t>
      </w:r>
      <w:r w:rsidR="00572EE5">
        <w:rPr>
          <w:rFonts w:ascii="Times New Roman" w:hAnsi="Times New Roman" w:cs="Times New Roman"/>
          <w:sz w:val="24"/>
          <w:szCs w:val="24"/>
        </w:rPr>
        <w:t>LTL’</w:t>
      </w:r>
      <w:r w:rsidR="006C4F87">
        <w:rPr>
          <w:rFonts w:ascii="Times New Roman" w:hAnsi="Times New Roman" w:cs="Times New Roman"/>
          <w:sz w:val="24"/>
          <w:szCs w:val="24"/>
        </w:rPr>
        <w:t xml:space="preserve">s aggressive </w:t>
      </w:r>
      <w:r w:rsidR="007E3C36" w:rsidRPr="00015802">
        <w:rPr>
          <w:rFonts w:ascii="Times New Roman" w:hAnsi="Times New Roman" w:cs="Times New Roman"/>
          <w:sz w:val="24"/>
          <w:szCs w:val="24"/>
        </w:rPr>
        <w:t>maneuvering</w:t>
      </w:r>
      <w:r w:rsidR="006C4F87">
        <w:rPr>
          <w:rFonts w:ascii="Times New Roman" w:hAnsi="Times New Roman" w:cs="Times New Roman"/>
          <w:sz w:val="24"/>
          <w:szCs w:val="24"/>
        </w:rPr>
        <w:t xml:space="preserve"> and moved the court to </w:t>
      </w:r>
      <w:r w:rsidR="007E3C36" w:rsidRPr="00015802">
        <w:rPr>
          <w:rFonts w:ascii="Times New Roman" w:hAnsi="Times New Roman" w:cs="Times New Roman"/>
          <w:sz w:val="24"/>
          <w:szCs w:val="24"/>
        </w:rPr>
        <w:t>transfer</w:t>
      </w:r>
      <w:r w:rsidR="00572EE5">
        <w:rPr>
          <w:rFonts w:ascii="Times New Roman" w:hAnsi="Times New Roman" w:cs="Times New Roman"/>
          <w:sz w:val="24"/>
          <w:szCs w:val="24"/>
        </w:rPr>
        <w:t xml:space="preserve"> the</w:t>
      </w:r>
      <w:r w:rsidR="006C4F87">
        <w:rPr>
          <w:rFonts w:ascii="Times New Roman" w:hAnsi="Times New Roman" w:cs="Times New Roman"/>
          <w:sz w:val="24"/>
          <w:szCs w:val="24"/>
        </w:rPr>
        <w:t xml:space="preserve"> </w:t>
      </w:r>
      <w:r w:rsidR="007E3C36" w:rsidRPr="00015802">
        <w:rPr>
          <w:rFonts w:ascii="Times New Roman" w:hAnsi="Times New Roman" w:cs="Times New Roman"/>
          <w:sz w:val="24"/>
          <w:szCs w:val="24"/>
        </w:rPr>
        <w:t xml:space="preserve">case to New Jersey. In </w:t>
      </w:r>
      <w:r w:rsidR="007E3C36" w:rsidRPr="00015802">
        <w:rPr>
          <w:rFonts w:ascii="Times New Roman" w:hAnsi="Times New Roman" w:cs="Times New Roman"/>
          <w:i/>
          <w:iCs/>
          <w:sz w:val="24"/>
          <w:szCs w:val="24"/>
        </w:rPr>
        <w:t>In re LTL Mgmt. LLC</w:t>
      </w:r>
      <w:r w:rsidR="007E3C36" w:rsidRPr="00015802">
        <w:rPr>
          <w:rFonts w:ascii="Times New Roman" w:hAnsi="Times New Roman" w:cs="Times New Roman"/>
          <w:sz w:val="24"/>
          <w:szCs w:val="24"/>
        </w:rPr>
        <w:t>, Case No. 21-30589, 2021 WL 5343945 (</w:t>
      </w:r>
      <w:proofErr w:type="spellStart"/>
      <w:r w:rsidR="007E3C36" w:rsidRPr="00015802">
        <w:rPr>
          <w:rFonts w:ascii="Times New Roman" w:hAnsi="Times New Roman" w:cs="Times New Roman"/>
          <w:sz w:val="24"/>
          <w:szCs w:val="24"/>
        </w:rPr>
        <w:t>Bankr</w:t>
      </w:r>
      <w:proofErr w:type="spellEnd"/>
      <w:r w:rsidR="007E3C36" w:rsidRPr="00015802">
        <w:rPr>
          <w:rFonts w:ascii="Times New Roman" w:hAnsi="Times New Roman" w:cs="Times New Roman"/>
          <w:sz w:val="24"/>
          <w:szCs w:val="24"/>
        </w:rPr>
        <w:t>. W.D.N.C. Nov. 16, 2021)</w:t>
      </w:r>
      <w:r w:rsidR="00CF2540">
        <w:rPr>
          <w:rFonts w:ascii="Times New Roman" w:hAnsi="Times New Roman" w:cs="Times New Roman"/>
          <w:sz w:val="24"/>
          <w:szCs w:val="24"/>
        </w:rPr>
        <w:t>, th</w:t>
      </w:r>
      <w:r>
        <w:rPr>
          <w:rFonts w:ascii="Times New Roman" w:hAnsi="Times New Roman" w:cs="Times New Roman"/>
          <w:sz w:val="24"/>
          <w:szCs w:val="24"/>
        </w:rPr>
        <w:t xml:space="preserve">e bankruptcy court </w:t>
      </w:r>
      <w:r w:rsidR="007E3C36" w:rsidRPr="00015802">
        <w:rPr>
          <w:rFonts w:ascii="Times New Roman" w:hAnsi="Times New Roman" w:cs="Times New Roman"/>
          <w:sz w:val="24"/>
          <w:szCs w:val="24"/>
        </w:rPr>
        <w:t xml:space="preserve">granted </w:t>
      </w:r>
      <w:r>
        <w:rPr>
          <w:rFonts w:ascii="Times New Roman" w:hAnsi="Times New Roman" w:cs="Times New Roman"/>
          <w:sz w:val="24"/>
          <w:szCs w:val="24"/>
        </w:rPr>
        <w:t>the B</w:t>
      </w:r>
      <w:r w:rsidR="007E3C36" w:rsidRPr="00015802">
        <w:rPr>
          <w:rFonts w:ascii="Times New Roman" w:hAnsi="Times New Roman" w:cs="Times New Roman"/>
          <w:sz w:val="24"/>
          <w:szCs w:val="24"/>
        </w:rPr>
        <w:t xml:space="preserve">ankruptcy </w:t>
      </w:r>
      <w:r>
        <w:rPr>
          <w:rFonts w:ascii="Times New Roman" w:hAnsi="Times New Roman" w:cs="Times New Roman"/>
          <w:sz w:val="24"/>
          <w:szCs w:val="24"/>
        </w:rPr>
        <w:t>A</w:t>
      </w:r>
      <w:r w:rsidR="007E3C36" w:rsidRPr="00015802">
        <w:rPr>
          <w:rFonts w:ascii="Times New Roman" w:hAnsi="Times New Roman" w:cs="Times New Roman"/>
          <w:sz w:val="24"/>
          <w:szCs w:val="24"/>
        </w:rPr>
        <w:t>dministrator’s motion</w:t>
      </w:r>
      <w:r>
        <w:rPr>
          <w:rFonts w:ascii="Times New Roman" w:hAnsi="Times New Roman" w:cs="Times New Roman"/>
          <w:sz w:val="24"/>
          <w:szCs w:val="24"/>
        </w:rPr>
        <w:t xml:space="preserve">, </w:t>
      </w:r>
      <w:r w:rsidR="007E3C36" w:rsidRPr="00015802">
        <w:rPr>
          <w:rFonts w:ascii="Times New Roman" w:hAnsi="Times New Roman" w:cs="Times New Roman"/>
          <w:sz w:val="24"/>
          <w:szCs w:val="24"/>
        </w:rPr>
        <w:t>finding that debtor was not merely forum shopping but “manufacturing forum” and “attempting to outsmart the purpose of the [bankruptcy venue] statute</w:t>
      </w:r>
      <w:r w:rsidR="00396B77">
        <w:rPr>
          <w:rFonts w:ascii="Times New Roman" w:hAnsi="Times New Roman" w:cs="Times New Roman"/>
          <w:sz w:val="24"/>
          <w:szCs w:val="24"/>
        </w:rPr>
        <w:t xml:space="preserve">.”  </w:t>
      </w:r>
      <w:r w:rsidR="00396B77" w:rsidRPr="00396B77">
        <w:rPr>
          <w:rFonts w:ascii="Times New Roman" w:hAnsi="Times New Roman" w:cs="Times New Roman"/>
          <w:i/>
          <w:iCs/>
          <w:sz w:val="24"/>
          <w:szCs w:val="24"/>
        </w:rPr>
        <w:t>Id.</w:t>
      </w:r>
      <w:r w:rsidR="00396B77">
        <w:rPr>
          <w:rFonts w:ascii="Times New Roman" w:hAnsi="Times New Roman" w:cs="Times New Roman"/>
          <w:sz w:val="24"/>
          <w:szCs w:val="24"/>
        </w:rPr>
        <w:t xml:space="preserve"> at *15.</w:t>
      </w:r>
      <w:r w:rsidR="00AE663E">
        <w:rPr>
          <w:rStyle w:val="FootnoteReference"/>
          <w:rFonts w:ascii="Times New Roman" w:hAnsi="Times New Roman" w:cs="Times New Roman"/>
          <w:sz w:val="24"/>
          <w:szCs w:val="24"/>
        </w:rPr>
        <w:footnoteReference w:id="2"/>
      </w:r>
    </w:p>
    <w:p w14:paraId="458CAFDB" w14:textId="252B4255" w:rsidR="009B713C" w:rsidRPr="00015802" w:rsidRDefault="007E3C36" w:rsidP="00015802">
      <w:pPr>
        <w:spacing w:after="0" w:line="480" w:lineRule="auto"/>
        <w:jc w:val="both"/>
        <w:rPr>
          <w:rFonts w:ascii="Times New Roman" w:hAnsi="Times New Roman" w:cs="Times New Roman"/>
          <w:b/>
          <w:bCs/>
          <w:i/>
          <w:iCs/>
          <w:sz w:val="24"/>
          <w:szCs w:val="24"/>
        </w:rPr>
      </w:pPr>
      <w:r w:rsidRPr="00015802">
        <w:rPr>
          <w:rFonts w:ascii="Times New Roman" w:hAnsi="Times New Roman" w:cs="Times New Roman"/>
          <w:b/>
          <w:bCs/>
          <w:sz w:val="24"/>
          <w:szCs w:val="24"/>
        </w:rPr>
        <w:lastRenderedPageBreak/>
        <w:t xml:space="preserve">New Bankruptcy </w:t>
      </w:r>
      <w:r w:rsidR="009B713C" w:rsidRPr="00015802">
        <w:rPr>
          <w:rFonts w:ascii="Times New Roman" w:hAnsi="Times New Roman" w:cs="Times New Roman"/>
          <w:b/>
          <w:bCs/>
          <w:sz w:val="24"/>
          <w:szCs w:val="24"/>
        </w:rPr>
        <w:t>Venue</w:t>
      </w:r>
    </w:p>
    <w:p w14:paraId="5859054B" w14:textId="204164F4" w:rsidR="00015802" w:rsidRPr="00015802" w:rsidRDefault="00AA7B69" w:rsidP="00015802">
      <w:pPr>
        <w:spacing w:after="0" w:line="480" w:lineRule="auto"/>
        <w:ind w:firstLine="720"/>
        <w:jc w:val="both"/>
        <w:rPr>
          <w:rFonts w:ascii="Times New Roman" w:hAnsi="Times New Roman" w:cs="Times New Roman"/>
          <w:sz w:val="24"/>
          <w:szCs w:val="24"/>
        </w:rPr>
      </w:pPr>
      <w:r w:rsidRPr="00952218">
        <w:rPr>
          <w:rFonts w:ascii="Times New Roman" w:eastAsia="Times New Roman" w:hAnsi="Times New Roman" w:cs="Times New Roman"/>
          <w:color w:val="202124"/>
          <w:sz w:val="24"/>
          <w:szCs w:val="24"/>
        </w:rPr>
        <w:t>After the</w:t>
      </w:r>
      <w:r w:rsidR="00CF2540">
        <w:rPr>
          <w:rFonts w:ascii="Times New Roman" w:eastAsia="Times New Roman" w:hAnsi="Times New Roman" w:cs="Times New Roman"/>
          <w:color w:val="202124"/>
          <w:sz w:val="24"/>
          <w:szCs w:val="24"/>
        </w:rPr>
        <w:t xml:space="preserve"> case</w:t>
      </w:r>
      <w:r w:rsidRPr="00952218">
        <w:rPr>
          <w:rFonts w:ascii="Times New Roman" w:eastAsia="Times New Roman" w:hAnsi="Times New Roman" w:cs="Times New Roman"/>
          <w:color w:val="202124"/>
          <w:sz w:val="24"/>
          <w:szCs w:val="24"/>
        </w:rPr>
        <w:t xml:space="preserve"> </w:t>
      </w:r>
      <w:r w:rsidR="00952218" w:rsidRPr="00952218">
        <w:rPr>
          <w:rFonts w:ascii="Times New Roman" w:eastAsia="Times New Roman" w:hAnsi="Times New Roman" w:cs="Times New Roman"/>
          <w:color w:val="202124"/>
          <w:sz w:val="24"/>
          <w:szCs w:val="24"/>
        </w:rPr>
        <w:t xml:space="preserve">was a transferred to </w:t>
      </w:r>
      <w:r w:rsidR="00015802" w:rsidRPr="00015802">
        <w:rPr>
          <w:rFonts w:ascii="Times New Roman" w:eastAsia="Times New Roman" w:hAnsi="Times New Roman" w:cs="Times New Roman"/>
          <w:color w:val="202124"/>
          <w:sz w:val="24"/>
          <w:szCs w:val="24"/>
        </w:rPr>
        <w:t>the Bankruptcy Court for the District of New Jersey</w:t>
      </w:r>
      <w:r w:rsidR="00CF2540">
        <w:rPr>
          <w:rFonts w:ascii="Times New Roman" w:eastAsia="Times New Roman" w:hAnsi="Times New Roman" w:cs="Times New Roman"/>
          <w:color w:val="202124"/>
          <w:sz w:val="24"/>
          <w:szCs w:val="24"/>
        </w:rPr>
        <w:t xml:space="preserve">, </w:t>
      </w:r>
      <w:r w:rsidR="00015802" w:rsidRPr="00015802">
        <w:rPr>
          <w:rFonts w:ascii="Times New Roman" w:eastAsia="Times New Roman" w:hAnsi="Times New Roman" w:cs="Times New Roman"/>
          <w:color w:val="202124"/>
          <w:sz w:val="24"/>
          <w:szCs w:val="24"/>
        </w:rPr>
        <w:t xml:space="preserve">the Official Committee of Talc Claimants moved to dismiss LTL’s petition under </w:t>
      </w:r>
      <w:r w:rsidR="00BD2101">
        <w:rPr>
          <w:rFonts w:ascii="Times New Roman" w:eastAsia="Times New Roman" w:hAnsi="Times New Roman" w:cs="Times New Roman"/>
          <w:color w:val="202124"/>
          <w:sz w:val="24"/>
          <w:szCs w:val="24"/>
        </w:rPr>
        <w:t xml:space="preserve">§ </w:t>
      </w:r>
      <w:r w:rsidR="00015802" w:rsidRPr="00015802">
        <w:rPr>
          <w:rFonts w:ascii="Times New Roman" w:eastAsia="Times New Roman" w:hAnsi="Times New Roman" w:cs="Times New Roman"/>
          <w:color w:val="202124"/>
          <w:sz w:val="24"/>
          <w:szCs w:val="24"/>
        </w:rPr>
        <w:t>1112(b) of the Bankruptcy Code</w:t>
      </w:r>
      <w:r w:rsidR="00952218" w:rsidRPr="00952218">
        <w:rPr>
          <w:rFonts w:ascii="Times New Roman" w:eastAsia="Times New Roman" w:hAnsi="Times New Roman" w:cs="Times New Roman"/>
          <w:color w:val="202124"/>
          <w:sz w:val="24"/>
          <w:szCs w:val="24"/>
        </w:rPr>
        <w:t xml:space="preserve">, alleging that LTL had not filed its case </w:t>
      </w:r>
      <w:r w:rsidR="00015802" w:rsidRPr="00015802">
        <w:rPr>
          <w:rFonts w:ascii="Times New Roman" w:eastAsia="Times New Roman" w:hAnsi="Times New Roman" w:cs="Times New Roman"/>
          <w:color w:val="202124"/>
          <w:sz w:val="24"/>
          <w:szCs w:val="24"/>
        </w:rPr>
        <w:t>in good faith. Following a five-day trial, the New Jersey Bankruptcy Court denied the motion to dismiss and held that the petition was filed in good faith</w:t>
      </w:r>
      <w:r w:rsidR="00952218" w:rsidRPr="00952218">
        <w:rPr>
          <w:rFonts w:ascii="Times New Roman" w:eastAsia="Times New Roman" w:hAnsi="Times New Roman" w:cs="Times New Roman"/>
          <w:color w:val="202124"/>
          <w:sz w:val="24"/>
          <w:szCs w:val="24"/>
        </w:rPr>
        <w:t xml:space="preserve">.  </w:t>
      </w:r>
      <w:r w:rsidR="00CF2540" w:rsidRPr="00952218">
        <w:rPr>
          <w:rFonts w:ascii="Times New Roman" w:hAnsi="Times New Roman" w:cs="Times New Roman"/>
          <w:i/>
          <w:iCs/>
          <w:sz w:val="24"/>
          <w:szCs w:val="24"/>
        </w:rPr>
        <w:t>In</w:t>
      </w:r>
      <w:r w:rsidR="00CF2540" w:rsidRPr="00015802">
        <w:rPr>
          <w:rFonts w:ascii="Times New Roman" w:hAnsi="Times New Roman" w:cs="Times New Roman"/>
          <w:i/>
          <w:iCs/>
          <w:sz w:val="24"/>
          <w:szCs w:val="24"/>
        </w:rPr>
        <w:t xml:space="preserve"> re LTL Mgmt., LLC</w:t>
      </w:r>
      <w:r w:rsidR="00CF2540" w:rsidRPr="00015802">
        <w:rPr>
          <w:rFonts w:ascii="Times New Roman" w:hAnsi="Times New Roman" w:cs="Times New Roman"/>
          <w:sz w:val="24"/>
          <w:szCs w:val="24"/>
        </w:rPr>
        <w:t xml:space="preserve">, </w:t>
      </w:r>
      <w:r w:rsidR="00CF2540">
        <w:rPr>
          <w:rFonts w:ascii="Times New Roman" w:hAnsi="Times New Roman" w:cs="Times New Roman"/>
          <w:sz w:val="24"/>
          <w:szCs w:val="24"/>
        </w:rPr>
        <w:t>637 B.R. 396 (</w:t>
      </w:r>
      <w:proofErr w:type="spellStart"/>
      <w:r w:rsidR="00CF2540">
        <w:rPr>
          <w:rFonts w:ascii="Times New Roman" w:hAnsi="Times New Roman" w:cs="Times New Roman"/>
          <w:sz w:val="24"/>
          <w:szCs w:val="24"/>
        </w:rPr>
        <w:t>B</w:t>
      </w:r>
      <w:r w:rsidR="00CF2540" w:rsidRPr="00015802">
        <w:rPr>
          <w:rFonts w:ascii="Times New Roman" w:hAnsi="Times New Roman" w:cs="Times New Roman"/>
          <w:sz w:val="24"/>
          <w:szCs w:val="24"/>
        </w:rPr>
        <w:t>ankr</w:t>
      </w:r>
      <w:proofErr w:type="spellEnd"/>
      <w:r w:rsidR="00CF2540" w:rsidRPr="00015802">
        <w:rPr>
          <w:rFonts w:ascii="Times New Roman" w:hAnsi="Times New Roman" w:cs="Times New Roman"/>
          <w:sz w:val="24"/>
          <w:szCs w:val="24"/>
        </w:rPr>
        <w:t>. D.N.J. 2022)</w:t>
      </w:r>
      <w:r w:rsidR="00CF2540">
        <w:rPr>
          <w:rFonts w:ascii="Times New Roman" w:hAnsi="Times New Roman" w:cs="Times New Roman"/>
          <w:sz w:val="24"/>
          <w:szCs w:val="24"/>
        </w:rPr>
        <w:t xml:space="preserve">. </w:t>
      </w:r>
      <w:r w:rsidR="00952218" w:rsidRPr="00952218">
        <w:rPr>
          <w:rFonts w:ascii="Times New Roman" w:eastAsia="Times New Roman" w:hAnsi="Times New Roman" w:cs="Times New Roman"/>
          <w:color w:val="202124"/>
          <w:sz w:val="24"/>
          <w:szCs w:val="24"/>
        </w:rPr>
        <w:t xml:space="preserve">The bankruptcy court </w:t>
      </w:r>
      <w:r w:rsidR="00CF2540">
        <w:rPr>
          <w:rFonts w:ascii="Times New Roman" w:eastAsia="Times New Roman" w:hAnsi="Times New Roman" w:cs="Times New Roman"/>
          <w:color w:val="202124"/>
          <w:sz w:val="24"/>
          <w:szCs w:val="24"/>
        </w:rPr>
        <w:t xml:space="preserve">determined </w:t>
      </w:r>
      <w:r w:rsidR="00952218" w:rsidRPr="00952218">
        <w:rPr>
          <w:rFonts w:ascii="Times New Roman" w:eastAsia="Times New Roman" w:hAnsi="Times New Roman" w:cs="Times New Roman"/>
          <w:color w:val="202124"/>
          <w:sz w:val="24"/>
          <w:szCs w:val="24"/>
        </w:rPr>
        <w:t>that:</w:t>
      </w:r>
      <w:r w:rsidR="00015802" w:rsidRPr="00015802">
        <w:rPr>
          <w:rFonts w:ascii="Times New Roman" w:eastAsia="Times New Roman" w:hAnsi="Times New Roman" w:cs="Times New Roman"/>
          <w:color w:val="202124"/>
          <w:sz w:val="24"/>
          <w:szCs w:val="24"/>
        </w:rPr>
        <w:t xml:space="preserve"> (a) the filing served a valid bankruptcy purpose by seeking to resolve talc liability through the creation of a trust under the Bankruptcy Code</w:t>
      </w:r>
      <w:r w:rsidR="00952218" w:rsidRPr="00952218">
        <w:rPr>
          <w:rFonts w:ascii="Times New Roman" w:eastAsia="Times New Roman" w:hAnsi="Times New Roman" w:cs="Times New Roman"/>
          <w:color w:val="202124"/>
          <w:sz w:val="24"/>
          <w:szCs w:val="24"/>
        </w:rPr>
        <w:t xml:space="preserve">; </w:t>
      </w:r>
      <w:r w:rsidR="00015802" w:rsidRPr="00015802">
        <w:rPr>
          <w:rFonts w:ascii="Times New Roman" w:eastAsia="Times New Roman" w:hAnsi="Times New Roman" w:cs="Times New Roman"/>
          <w:color w:val="202124"/>
          <w:sz w:val="24"/>
          <w:szCs w:val="24"/>
        </w:rPr>
        <w:t xml:space="preserve">(b) LTL was in financial distress given the scope of litigation faced by Old </w:t>
      </w:r>
      <w:r w:rsidR="00952218" w:rsidRPr="00952218">
        <w:rPr>
          <w:rFonts w:ascii="Times New Roman" w:eastAsia="Times New Roman" w:hAnsi="Times New Roman" w:cs="Times New Roman"/>
          <w:color w:val="202124"/>
          <w:sz w:val="24"/>
          <w:szCs w:val="24"/>
        </w:rPr>
        <w:t>J&amp;J</w:t>
      </w:r>
      <w:r w:rsidR="00497CAC">
        <w:rPr>
          <w:rFonts w:ascii="Times New Roman" w:eastAsia="Times New Roman" w:hAnsi="Times New Roman" w:cs="Times New Roman"/>
          <w:color w:val="202124"/>
          <w:sz w:val="24"/>
          <w:szCs w:val="24"/>
        </w:rPr>
        <w:t>;</w:t>
      </w:r>
      <w:r w:rsidR="00015802" w:rsidRPr="00015802">
        <w:rPr>
          <w:rFonts w:ascii="Times New Roman" w:eastAsia="Times New Roman" w:hAnsi="Times New Roman" w:cs="Times New Roman"/>
          <w:color w:val="202124"/>
          <w:sz w:val="24"/>
          <w:szCs w:val="24"/>
        </w:rPr>
        <w:t xml:space="preserve"> and (c) LTL’s bankruptcy was not undertaken to secure an unfair litigation advantage.  </w:t>
      </w:r>
      <w:r w:rsidR="00CF2540" w:rsidRPr="003224DE">
        <w:rPr>
          <w:rFonts w:ascii="Times New Roman" w:hAnsi="Times New Roman" w:cs="Times New Roman"/>
          <w:i/>
          <w:iCs/>
          <w:sz w:val="24"/>
          <w:szCs w:val="24"/>
        </w:rPr>
        <w:t>Id</w:t>
      </w:r>
      <w:r w:rsidR="00CF2540">
        <w:rPr>
          <w:rFonts w:ascii="Times New Roman" w:hAnsi="Times New Roman" w:cs="Times New Roman"/>
          <w:sz w:val="24"/>
          <w:szCs w:val="24"/>
        </w:rPr>
        <w:t xml:space="preserve">. at 407-428. </w:t>
      </w:r>
      <w:r w:rsidR="00EC578D">
        <w:rPr>
          <w:rFonts w:ascii="Times New Roman" w:hAnsi="Times New Roman" w:cs="Times New Roman"/>
          <w:sz w:val="24"/>
          <w:szCs w:val="24"/>
        </w:rPr>
        <w:t xml:space="preserve"> The court found that “</w:t>
      </w:r>
      <w:r w:rsidR="00015802" w:rsidRPr="00015802">
        <w:rPr>
          <w:rFonts w:ascii="Times New Roman" w:hAnsi="Times New Roman" w:cs="Times New Roman"/>
          <w:sz w:val="24"/>
          <w:szCs w:val="24"/>
        </w:rPr>
        <w:t>justice will best be served by expeditiously providing critical compensation through a court-supervised, fair, and less costly settlement trust arrangement</w:t>
      </w:r>
      <w:r w:rsidR="003224DE">
        <w:rPr>
          <w:rFonts w:ascii="Times New Roman" w:hAnsi="Times New Roman" w:cs="Times New Roman"/>
          <w:sz w:val="24"/>
          <w:szCs w:val="24"/>
        </w:rPr>
        <w:t>.</w:t>
      </w:r>
      <w:r w:rsidR="00015802" w:rsidRPr="00015802">
        <w:rPr>
          <w:rFonts w:ascii="Times New Roman" w:hAnsi="Times New Roman" w:cs="Times New Roman"/>
          <w:sz w:val="24"/>
          <w:szCs w:val="24"/>
        </w:rPr>
        <w:t>”</w:t>
      </w:r>
      <w:r w:rsidR="003224DE">
        <w:rPr>
          <w:rFonts w:ascii="Times New Roman" w:hAnsi="Times New Roman" w:cs="Times New Roman"/>
          <w:sz w:val="24"/>
          <w:szCs w:val="24"/>
        </w:rPr>
        <w:t xml:space="preserve">  </w:t>
      </w:r>
      <w:r w:rsidR="003224DE" w:rsidRPr="003224DE">
        <w:rPr>
          <w:rFonts w:ascii="Times New Roman" w:hAnsi="Times New Roman" w:cs="Times New Roman"/>
          <w:i/>
          <w:iCs/>
          <w:sz w:val="24"/>
          <w:szCs w:val="24"/>
        </w:rPr>
        <w:t>Id</w:t>
      </w:r>
      <w:r w:rsidR="003224DE">
        <w:rPr>
          <w:rFonts w:ascii="Times New Roman" w:hAnsi="Times New Roman" w:cs="Times New Roman"/>
          <w:sz w:val="24"/>
          <w:szCs w:val="24"/>
        </w:rPr>
        <w:t xml:space="preserve">. at 430. </w:t>
      </w:r>
    </w:p>
    <w:p w14:paraId="4153FD75" w14:textId="4CD10D16" w:rsidR="003224DE" w:rsidRDefault="00396B77" w:rsidP="00015802">
      <w:pPr>
        <w:spacing w:after="0" w:line="480" w:lineRule="auto"/>
        <w:ind w:firstLine="720"/>
        <w:jc w:val="both"/>
        <w:textAlignment w:val="baseline"/>
        <w:rPr>
          <w:rFonts w:ascii="Times New Roman" w:hAnsi="Times New Roman" w:cs="Times New Roman"/>
          <w:color w:val="3F3F3F"/>
          <w:sz w:val="24"/>
          <w:szCs w:val="24"/>
          <w:bdr w:val="none" w:sz="0" w:space="0" w:color="auto" w:frame="1"/>
          <w:shd w:val="clear" w:color="auto" w:fill="FFFFFF"/>
        </w:rPr>
      </w:pPr>
      <w:r w:rsidRPr="00AE663E">
        <w:rPr>
          <w:rFonts w:ascii="Times New Roman" w:hAnsi="Times New Roman" w:cs="Times New Roman"/>
          <w:color w:val="333333"/>
          <w:sz w:val="24"/>
          <w:szCs w:val="24"/>
          <w:shd w:val="clear" w:color="auto" w:fill="FFFFFF"/>
        </w:rPr>
        <w:t>The Third Circuit reversed the Bankruptcy Court’s decision on appeal, finding that the LTL filing was not in good faith because LTL was not in financial distress. </w:t>
      </w:r>
      <w:r w:rsidR="00AE663E" w:rsidRPr="00AE663E">
        <w:rPr>
          <w:rStyle w:val="Emphasis"/>
          <w:rFonts w:ascii="Times New Roman" w:hAnsi="Times New Roman" w:cs="Times New Roman"/>
          <w:color w:val="3F3F3F"/>
          <w:sz w:val="24"/>
          <w:szCs w:val="24"/>
          <w:bdr w:val="none" w:sz="0" w:space="0" w:color="auto" w:frame="1"/>
          <w:shd w:val="clear" w:color="auto" w:fill="FFFFFF"/>
        </w:rPr>
        <w:t xml:space="preserve"> In re LTL Mgmt., LLC</w:t>
      </w:r>
      <w:r w:rsidR="00AE663E" w:rsidRPr="00AE663E">
        <w:rPr>
          <w:rFonts w:ascii="Times New Roman" w:hAnsi="Times New Roman" w:cs="Times New Roman"/>
          <w:color w:val="3F3F3F"/>
          <w:sz w:val="24"/>
          <w:szCs w:val="24"/>
          <w:bdr w:val="none" w:sz="0" w:space="0" w:color="auto" w:frame="1"/>
          <w:shd w:val="clear" w:color="auto" w:fill="FFFFFF"/>
        </w:rPr>
        <w:t>,</w:t>
      </w:r>
      <w:r w:rsidR="00AE663E" w:rsidRPr="00AE663E">
        <w:rPr>
          <w:rFonts w:ascii="Times New Roman" w:hAnsi="Times New Roman" w:cs="Times New Roman"/>
          <w:color w:val="333333"/>
          <w:sz w:val="24"/>
          <w:szCs w:val="24"/>
          <w:shd w:val="clear" w:color="auto" w:fill="FFFFFF"/>
        </w:rPr>
        <w:t> </w:t>
      </w:r>
      <w:r w:rsidR="00AE663E">
        <w:rPr>
          <w:rFonts w:ascii="Times New Roman" w:hAnsi="Times New Roman" w:cs="Times New Roman"/>
          <w:color w:val="333333"/>
          <w:sz w:val="24"/>
          <w:szCs w:val="24"/>
          <w:shd w:val="clear" w:color="auto" w:fill="FFFFFF"/>
        </w:rPr>
        <w:t>64 F.</w:t>
      </w:r>
      <w:r w:rsidR="00BD2101">
        <w:rPr>
          <w:rFonts w:ascii="Times New Roman" w:hAnsi="Times New Roman" w:cs="Times New Roman"/>
          <w:color w:val="333333"/>
          <w:sz w:val="24"/>
          <w:szCs w:val="24"/>
          <w:shd w:val="clear" w:color="auto" w:fill="FFFFFF"/>
        </w:rPr>
        <w:t xml:space="preserve">4th </w:t>
      </w:r>
      <w:r w:rsidR="00AE663E">
        <w:rPr>
          <w:rFonts w:ascii="Times New Roman" w:hAnsi="Times New Roman" w:cs="Times New Roman"/>
          <w:color w:val="333333"/>
          <w:sz w:val="24"/>
          <w:szCs w:val="24"/>
          <w:shd w:val="clear" w:color="auto" w:fill="FFFFFF"/>
        </w:rPr>
        <w:t>84 (</w:t>
      </w:r>
      <w:r w:rsidR="00BD2101">
        <w:rPr>
          <w:rFonts w:ascii="Times New Roman" w:hAnsi="Times New Roman" w:cs="Times New Roman"/>
          <w:color w:val="333333"/>
          <w:sz w:val="24"/>
          <w:szCs w:val="24"/>
          <w:shd w:val="clear" w:color="auto" w:fill="FFFFFF"/>
        </w:rPr>
        <w:t xml:space="preserve">3d </w:t>
      </w:r>
      <w:r w:rsidR="00AE663E" w:rsidRPr="00AE663E">
        <w:rPr>
          <w:rFonts w:ascii="Times New Roman" w:hAnsi="Times New Roman" w:cs="Times New Roman"/>
          <w:color w:val="333333"/>
          <w:sz w:val="24"/>
          <w:szCs w:val="24"/>
          <w:shd w:val="clear" w:color="auto" w:fill="FFFFFF"/>
        </w:rPr>
        <w:t xml:space="preserve">Cir. </w:t>
      </w:r>
      <w:r w:rsidR="00AE663E">
        <w:rPr>
          <w:rFonts w:ascii="Times New Roman" w:hAnsi="Times New Roman" w:cs="Times New Roman"/>
          <w:color w:val="333333"/>
          <w:sz w:val="24"/>
          <w:szCs w:val="24"/>
          <w:shd w:val="clear" w:color="auto" w:fill="FFFFFF"/>
        </w:rPr>
        <w:t xml:space="preserve">2023).  </w:t>
      </w:r>
      <w:r w:rsidR="00223400">
        <w:rPr>
          <w:rFonts w:ascii="Times New Roman" w:hAnsi="Times New Roman" w:cs="Times New Roman"/>
          <w:color w:val="333333"/>
          <w:sz w:val="24"/>
          <w:szCs w:val="24"/>
          <w:shd w:val="clear" w:color="auto" w:fill="FFFFFF"/>
        </w:rPr>
        <w:t>The court held that w</w:t>
      </w:r>
      <w:r w:rsidR="00AE663E">
        <w:rPr>
          <w:rFonts w:ascii="Times New Roman" w:hAnsi="Times New Roman" w:cs="Times New Roman"/>
          <w:color w:val="333333"/>
          <w:sz w:val="24"/>
          <w:szCs w:val="24"/>
          <w:shd w:val="clear" w:color="auto" w:fill="FFFFFF"/>
        </w:rPr>
        <w:t xml:space="preserve">hile </w:t>
      </w:r>
      <w:r w:rsidR="00497CAC">
        <w:rPr>
          <w:rFonts w:ascii="Times New Roman" w:hAnsi="Times New Roman" w:cs="Times New Roman"/>
          <w:color w:val="333333"/>
          <w:sz w:val="24"/>
          <w:szCs w:val="24"/>
          <w:shd w:val="clear" w:color="auto" w:fill="FFFFFF"/>
        </w:rPr>
        <w:t xml:space="preserve">the </w:t>
      </w:r>
      <w:r w:rsidRPr="00AE663E">
        <w:rPr>
          <w:rFonts w:ascii="Times New Roman" w:hAnsi="Times New Roman" w:cs="Times New Roman"/>
          <w:color w:val="333333"/>
          <w:sz w:val="24"/>
          <w:szCs w:val="24"/>
          <w:shd w:val="clear" w:color="auto" w:fill="FFFFFF"/>
        </w:rPr>
        <w:t xml:space="preserve">Bankruptcy Code does not expressly require debtors to be in financial distress to file bankruptcy in good faith, </w:t>
      </w:r>
      <w:r w:rsidR="00223400">
        <w:rPr>
          <w:rFonts w:ascii="Times New Roman" w:hAnsi="Times New Roman" w:cs="Times New Roman"/>
          <w:color w:val="333333"/>
          <w:sz w:val="24"/>
          <w:szCs w:val="24"/>
          <w:shd w:val="clear" w:color="auto" w:fill="FFFFFF"/>
        </w:rPr>
        <w:t>T</w:t>
      </w:r>
      <w:r w:rsidRPr="00AE663E">
        <w:rPr>
          <w:rFonts w:ascii="Times New Roman" w:hAnsi="Times New Roman" w:cs="Times New Roman"/>
          <w:color w:val="333333"/>
          <w:sz w:val="24"/>
          <w:szCs w:val="24"/>
          <w:shd w:val="clear" w:color="auto" w:fill="FFFFFF"/>
        </w:rPr>
        <w:t xml:space="preserve">hird Circuit precedent </w:t>
      </w:r>
      <w:r w:rsidR="00223400">
        <w:rPr>
          <w:rFonts w:ascii="Times New Roman" w:hAnsi="Times New Roman" w:cs="Times New Roman"/>
          <w:color w:val="333333"/>
          <w:sz w:val="24"/>
          <w:szCs w:val="24"/>
          <w:shd w:val="clear" w:color="auto" w:fill="FFFFFF"/>
        </w:rPr>
        <w:t xml:space="preserve">dictates that </w:t>
      </w:r>
      <w:r w:rsidRPr="00AE663E">
        <w:rPr>
          <w:rFonts w:ascii="Times New Roman" w:hAnsi="Times New Roman" w:cs="Times New Roman"/>
          <w:color w:val="333333"/>
          <w:sz w:val="24"/>
          <w:szCs w:val="24"/>
          <w:shd w:val="clear" w:color="auto" w:fill="FFFFFF"/>
        </w:rPr>
        <w:t>“a debtor who does not suffer from financial distress cannot demonstrate its Chapter 11 petition serves a valid bankruptcy purpose supporting good faith.</w:t>
      </w:r>
      <w:r w:rsidR="003224DE">
        <w:rPr>
          <w:rFonts w:ascii="Times New Roman" w:hAnsi="Times New Roman" w:cs="Times New Roman"/>
          <w:color w:val="333333"/>
          <w:sz w:val="24"/>
          <w:szCs w:val="24"/>
          <w:shd w:val="clear" w:color="auto" w:fill="FFFFFF"/>
        </w:rPr>
        <w:t xml:space="preserve">” </w:t>
      </w:r>
      <w:r w:rsidR="003224DE" w:rsidRPr="003224DE">
        <w:rPr>
          <w:rFonts w:ascii="Times New Roman" w:hAnsi="Times New Roman" w:cs="Times New Roman"/>
          <w:i/>
          <w:iCs/>
          <w:color w:val="333333"/>
          <w:sz w:val="24"/>
          <w:szCs w:val="24"/>
          <w:shd w:val="clear" w:color="auto" w:fill="FFFFFF"/>
        </w:rPr>
        <w:t>Id</w:t>
      </w:r>
      <w:r w:rsidR="003224DE">
        <w:rPr>
          <w:rFonts w:ascii="Times New Roman" w:hAnsi="Times New Roman" w:cs="Times New Roman"/>
          <w:color w:val="333333"/>
          <w:sz w:val="24"/>
          <w:szCs w:val="24"/>
          <w:shd w:val="clear" w:color="auto" w:fill="FFFFFF"/>
        </w:rPr>
        <w:t xml:space="preserve">. at 101. </w:t>
      </w:r>
      <w:r w:rsidRPr="00AE663E">
        <w:rPr>
          <w:rFonts w:ascii="Times New Roman" w:hAnsi="Times New Roman" w:cs="Times New Roman"/>
          <w:color w:val="3F3F3F"/>
          <w:sz w:val="24"/>
          <w:szCs w:val="24"/>
          <w:bdr w:val="none" w:sz="0" w:space="0" w:color="auto" w:frame="1"/>
          <w:shd w:val="clear" w:color="auto" w:fill="FFFFFF"/>
        </w:rPr>
        <w:t xml:space="preserve"> </w:t>
      </w:r>
    </w:p>
    <w:p w14:paraId="6A2D005C" w14:textId="20DD32A8" w:rsidR="00015802" w:rsidRPr="00015802" w:rsidRDefault="00015802" w:rsidP="00015802">
      <w:pPr>
        <w:spacing w:after="0" w:line="480" w:lineRule="auto"/>
        <w:ind w:firstLine="720"/>
        <w:jc w:val="both"/>
        <w:textAlignment w:val="baseline"/>
        <w:rPr>
          <w:rFonts w:ascii="Times New Roman" w:eastAsia="Times New Roman" w:hAnsi="Times New Roman" w:cs="Times New Roman"/>
          <w:color w:val="202124"/>
          <w:sz w:val="24"/>
          <w:szCs w:val="24"/>
        </w:rPr>
      </w:pPr>
      <w:r w:rsidRPr="00015802">
        <w:rPr>
          <w:rFonts w:ascii="Times New Roman" w:eastAsia="Times New Roman" w:hAnsi="Times New Roman" w:cs="Times New Roman"/>
          <w:color w:val="202124"/>
          <w:sz w:val="24"/>
          <w:szCs w:val="24"/>
        </w:rPr>
        <w:t xml:space="preserve">The </w:t>
      </w:r>
      <w:r w:rsidR="003224DE">
        <w:rPr>
          <w:rFonts w:ascii="Times New Roman" w:eastAsia="Times New Roman" w:hAnsi="Times New Roman" w:cs="Times New Roman"/>
          <w:color w:val="202124"/>
          <w:sz w:val="24"/>
          <w:szCs w:val="24"/>
        </w:rPr>
        <w:t>court</w:t>
      </w:r>
      <w:r w:rsidRPr="00015802">
        <w:rPr>
          <w:rFonts w:ascii="Times New Roman" w:eastAsia="Times New Roman" w:hAnsi="Times New Roman" w:cs="Times New Roman"/>
          <w:color w:val="202124"/>
          <w:sz w:val="24"/>
          <w:szCs w:val="24"/>
        </w:rPr>
        <w:t xml:space="preserve"> distinguish</w:t>
      </w:r>
      <w:r w:rsidR="00223400" w:rsidRPr="00223400">
        <w:rPr>
          <w:rFonts w:ascii="Times New Roman" w:eastAsia="Times New Roman" w:hAnsi="Times New Roman" w:cs="Times New Roman"/>
          <w:color w:val="202124"/>
          <w:sz w:val="24"/>
          <w:szCs w:val="24"/>
        </w:rPr>
        <w:t>ed</w:t>
      </w:r>
      <w:r w:rsidRPr="00015802">
        <w:rPr>
          <w:rFonts w:ascii="Times New Roman" w:eastAsia="Times New Roman" w:hAnsi="Times New Roman" w:cs="Times New Roman"/>
          <w:color w:val="202124"/>
          <w:sz w:val="24"/>
          <w:szCs w:val="24"/>
        </w:rPr>
        <w:t xml:space="preserve"> distress from insolvency and enumerated several factors that were relevant to distress, including balance-sheet insolvency, insufficient cash flows, and uncertain and unliquidated future liabilities. </w:t>
      </w:r>
      <w:r w:rsidR="00223400" w:rsidRPr="00223400">
        <w:rPr>
          <w:rFonts w:ascii="Times New Roman" w:eastAsia="Times New Roman" w:hAnsi="Times New Roman" w:cs="Times New Roman"/>
          <w:color w:val="202124"/>
          <w:sz w:val="24"/>
          <w:szCs w:val="24"/>
        </w:rPr>
        <w:t xml:space="preserve">The </w:t>
      </w:r>
      <w:r w:rsidR="00361512">
        <w:rPr>
          <w:rFonts w:ascii="Times New Roman" w:eastAsia="Times New Roman" w:hAnsi="Times New Roman" w:cs="Times New Roman"/>
          <w:color w:val="202124"/>
          <w:sz w:val="24"/>
          <w:szCs w:val="24"/>
        </w:rPr>
        <w:t xml:space="preserve">court </w:t>
      </w:r>
      <w:r w:rsidRPr="00015802">
        <w:rPr>
          <w:rFonts w:ascii="Times New Roman" w:eastAsia="Times New Roman" w:hAnsi="Times New Roman" w:cs="Times New Roman"/>
          <w:color w:val="202124"/>
          <w:sz w:val="24"/>
          <w:szCs w:val="24"/>
        </w:rPr>
        <w:t xml:space="preserve">found that the distress must also be immediate enough to </w:t>
      </w:r>
      <w:r w:rsidRPr="00015802">
        <w:rPr>
          <w:rFonts w:ascii="Times New Roman" w:eastAsia="Times New Roman" w:hAnsi="Times New Roman" w:cs="Times New Roman"/>
          <w:color w:val="202124"/>
          <w:sz w:val="24"/>
          <w:szCs w:val="24"/>
        </w:rPr>
        <w:lastRenderedPageBreak/>
        <w:t>justify a filing, as opposed to an attenuated possibility that may necessitate a filing at some point in the future.</w:t>
      </w:r>
      <w:r w:rsidR="003224DE">
        <w:rPr>
          <w:rFonts w:ascii="Times New Roman" w:eastAsia="Times New Roman" w:hAnsi="Times New Roman" w:cs="Times New Roman"/>
          <w:color w:val="202124"/>
          <w:sz w:val="24"/>
          <w:szCs w:val="24"/>
        </w:rPr>
        <w:t xml:space="preserve">  </w:t>
      </w:r>
      <w:r w:rsidR="003224DE" w:rsidRPr="003224DE">
        <w:rPr>
          <w:rFonts w:ascii="Times New Roman" w:eastAsia="Times New Roman" w:hAnsi="Times New Roman" w:cs="Times New Roman"/>
          <w:i/>
          <w:iCs/>
          <w:color w:val="202124"/>
          <w:sz w:val="24"/>
          <w:szCs w:val="24"/>
        </w:rPr>
        <w:t>Id</w:t>
      </w:r>
      <w:r w:rsidR="003224DE">
        <w:rPr>
          <w:rFonts w:ascii="Times New Roman" w:eastAsia="Times New Roman" w:hAnsi="Times New Roman" w:cs="Times New Roman"/>
          <w:color w:val="202124"/>
          <w:sz w:val="24"/>
          <w:szCs w:val="24"/>
        </w:rPr>
        <w:t>. at 102.</w:t>
      </w:r>
    </w:p>
    <w:p w14:paraId="5B73BBC3" w14:textId="2DE262D8" w:rsidR="00015802" w:rsidRPr="00015802" w:rsidRDefault="00015802" w:rsidP="00015802">
      <w:pPr>
        <w:spacing w:after="0" w:line="480" w:lineRule="auto"/>
        <w:ind w:firstLine="720"/>
        <w:jc w:val="both"/>
        <w:textAlignment w:val="baseline"/>
        <w:rPr>
          <w:rFonts w:ascii="Times New Roman" w:eastAsia="Times New Roman" w:hAnsi="Times New Roman" w:cs="Times New Roman"/>
          <w:color w:val="202124"/>
          <w:sz w:val="24"/>
          <w:szCs w:val="24"/>
        </w:rPr>
      </w:pPr>
      <w:r w:rsidRPr="00015802">
        <w:rPr>
          <w:rFonts w:ascii="Times New Roman" w:eastAsia="Times New Roman" w:hAnsi="Times New Roman" w:cs="Times New Roman"/>
          <w:color w:val="202124"/>
          <w:sz w:val="24"/>
          <w:szCs w:val="24"/>
        </w:rPr>
        <w:t xml:space="preserve">In applying </w:t>
      </w:r>
      <w:r w:rsidR="007460C3" w:rsidRPr="007460C3">
        <w:rPr>
          <w:rFonts w:ascii="Times New Roman" w:eastAsia="Times New Roman" w:hAnsi="Times New Roman" w:cs="Times New Roman"/>
          <w:color w:val="202124"/>
          <w:sz w:val="24"/>
          <w:szCs w:val="24"/>
        </w:rPr>
        <w:t>these principles</w:t>
      </w:r>
      <w:r w:rsidRPr="00015802">
        <w:rPr>
          <w:rFonts w:ascii="Times New Roman" w:eastAsia="Times New Roman" w:hAnsi="Times New Roman" w:cs="Times New Roman"/>
          <w:color w:val="202124"/>
          <w:sz w:val="24"/>
          <w:szCs w:val="24"/>
        </w:rPr>
        <w:t xml:space="preserve">, the </w:t>
      </w:r>
      <w:r w:rsidR="007460C3" w:rsidRPr="007460C3">
        <w:rPr>
          <w:rFonts w:ascii="Times New Roman" w:eastAsia="Times New Roman" w:hAnsi="Times New Roman" w:cs="Times New Roman"/>
          <w:color w:val="202124"/>
          <w:sz w:val="24"/>
          <w:szCs w:val="24"/>
        </w:rPr>
        <w:t xml:space="preserve">court considered </w:t>
      </w:r>
      <w:r w:rsidRPr="00015802">
        <w:rPr>
          <w:rFonts w:ascii="Times New Roman" w:eastAsia="Times New Roman" w:hAnsi="Times New Roman" w:cs="Times New Roman"/>
          <w:color w:val="202124"/>
          <w:sz w:val="24"/>
          <w:szCs w:val="24"/>
        </w:rPr>
        <w:t>only LTL’s financial condition</w:t>
      </w:r>
      <w:r w:rsidR="007460C3" w:rsidRPr="007460C3">
        <w:rPr>
          <w:rFonts w:ascii="Times New Roman" w:eastAsia="Times New Roman" w:hAnsi="Times New Roman" w:cs="Times New Roman"/>
          <w:color w:val="202124"/>
          <w:sz w:val="24"/>
          <w:szCs w:val="24"/>
        </w:rPr>
        <w:t xml:space="preserve">, not that of Old J&amp;J. </w:t>
      </w:r>
      <w:r w:rsidR="00497CAC">
        <w:rPr>
          <w:rFonts w:ascii="Times New Roman" w:eastAsia="Times New Roman" w:hAnsi="Times New Roman" w:cs="Times New Roman"/>
          <w:color w:val="202124"/>
          <w:sz w:val="24"/>
          <w:szCs w:val="24"/>
        </w:rPr>
        <w:t xml:space="preserve"> </w:t>
      </w:r>
      <w:r w:rsidR="00CF2540" w:rsidRPr="00CF2540">
        <w:rPr>
          <w:rFonts w:ascii="Times New Roman" w:eastAsia="Times New Roman" w:hAnsi="Times New Roman" w:cs="Times New Roman"/>
          <w:i/>
          <w:iCs/>
          <w:color w:val="202124"/>
          <w:sz w:val="24"/>
          <w:szCs w:val="24"/>
        </w:rPr>
        <w:t>Id</w:t>
      </w:r>
      <w:r w:rsidR="00CF2540">
        <w:rPr>
          <w:rFonts w:ascii="Times New Roman" w:eastAsia="Times New Roman" w:hAnsi="Times New Roman" w:cs="Times New Roman"/>
          <w:color w:val="202124"/>
          <w:sz w:val="24"/>
          <w:szCs w:val="24"/>
        </w:rPr>
        <w:t xml:space="preserve">. at 105. </w:t>
      </w:r>
      <w:r w:rsidR="007460C3" w:rsidRPr="007460C3">
        <w:rPr>
          <w:rFonts w:ascii="Times New Roman" w:eastAsia="Times New Roman" w:hAnsi="Times New Roman" w:cs="Times New Roman"/>
          <w:color w:val="202124"/>
          <w:sz w:val="24"/>
          <w:szCs w:val="24"/>
        </w:rPr>
        <w:t xml:space="preserve">This </w:t>
      </w:r>
      <w:r w:rsidRPr="00015802">
        <w:rPr>
          <w:rFonts w:ascii="Times New Roman" w:eastAsia="Times New Roman" w:hAnsi="Times New Roman" w:cs="Times New Roman"/>
          <w:color w:val="202124"/>
          <w:sz w:val="24"/>
          <w:szCs w:val="24"/>
        </w:rPr>
        <w:t>reflect</w:t>
      </w:r>
      <w:r w:rsidR="007460C3" w:rsidRPr="007460C3">
        <w:rPr>
          <w:rFonts w:ascii="Times New Roman" w:eastAsia="Times New Roman" w:hAnsi="Times New Roman" w:cs="Times New Roman"/>
          <w:color w:val="202124"/>
          <w:sz w:val="24"/>
          <w:szCs w:val="24"/>
        </w:rPr>
        <w:t>ed</w:t>
      </w:r>
      <w:r w:rsidRPr="00015802">
        <w:rPr>
          <w:rFonts w:ascii="Times New Roman" w:eastAsia="Times New Roman" w:hAnsi="Times New Roman" w:cs="Times New Roman"/>
          <w:color w:val="202124"/>
          <w:sz w:val="24"/>
          <w:szCs w:val="24"/>
        </w:rPr>
        <w:t xml:space="preserve"> th</w:t>
      </w:r>
      <w:r w:rsidR="007460C3" w:rsidRPr="007460C3">
        <w:rPr>
          <w:rFonts w:ascii="Times New Roman" w:eastAsia="Times New Roman" w:hAnsi="Times New Roman" w:cs="Times New Roman"/>
          <w:color w:val="202124"/>
          <w:sz w:val="24"/>
          <w:szCs w:val="24"/>
        </w:rPr>
        <w:t xml:space="preserve">at </w:t>
      </w:r>
      <w:r w:rsidRPr="00015802">
        <w:rPr>
          <w:rFonts w:ascii="Times New Roman" w:eastAsia="Times New Roman" w:hAnsi="Times New Roman" w:cs="Times New Roman"/>
          <w:color w:val="202124"/>
          <w:sz w:val="24"/>
          <w:szCs w:val="24"/>
        </w:rPr>
        <w:t>state-law property interests should be given the same effect inside and outside of bankruptcy</w:t>
      </w:r>
      <w:r w:rsidR="007460C3" w:rsidRPr="007460C3">
        <w:rPr>
          <w:rFonts w:ascii="Times New Roman" w:eastAsia="Times New Roman" w:hAnsi="Times New Roman" w:cs="Times New Roman"/>
          <w:color w:val="202124"/>
          <w:sz w:val="24"/>
          <w:szCs w:val="24"/>
        </w:rPr>
        <w:t>, and such interests were created through Old J&amp;J’s divisional merger, at which point Old J&amp;J ceased to exist.</w:t>
      </w:r>
      <w:r w:rsidRPr="00015802">
        <w:rPr>
          <w:rFonts w:ascii="Times New Roman" w:eastAsia="Times New Roman" w:hAnsi="Times New Roman" w:cs="Times New Roman"/>
          <w:color w:val="202124"/>
          <w:sz w:val="24"/>
          <w:szCs w:val="24"/>
        </w:rPr>
        <w:t xml:space="preserve"> With this framework, the </w:t>
      </w:r>
      <w:r w:rsidR="007460C3" w:rsidRPr="007460C3">
        <w:rPr>
          <w:rFonts w:ascii="Times New Roman" w:eastAsia="Times New Roman" w:hAnsi="Times New Roman" w:cs="Times New Roman"/>
          <w:color w:val="202124"/>
          <w:sz w:val="24"/>
          <w:szCs w:val="24"/>
        </w:rPr>
        <w:t xml:space="preserve">court </w:t>
      </w:r>
      <w:r w:rsidRPr="00015802">
        <w:rPr>
          <w:rFonts w:ascii="Times New Roman" w:eastAsia="Times New Roman" w:hAnsi="Times New Roman" w:cs="Times New Roman"/>
          <w:color w:val="202124"/>
          <w:sz w:val="24"/>
          <w:szCs w:val="24"/>
        </w:rPr>
        <w:t xml:space="preserve">disagreed with the </w:t>
      </w:r>
      <w:r w:rsidR="007460C3" w:rsidRPr="007460C3">
        <w:rPr>
          <w:rFonts w:ascii="Times New Roman" w:eastAsia="Times New Roman" w:hAnsi="Times New Roman" w:cs="Times New Roman"/>
          <w:color w:val="202124"/>
          <w:sz w:val="24"/>
          <w:szCs w:val="24"/>
        </w:rPr>
        <w:t>b</w:t>
      </w:r>
      <w:r w:rsidRPr="00015802">
        <w:rPr>
          <w:rFonts w:ascii="Times New Roman" w:eastAsia="Times New Roman" w:hAnsi="Times New Roman" w:cs="Times New Roman"/>
          <w:color w:val="202124"/>
          <w:sz w:val="24"/>
          <w:szCs w:val="24"/>
        </w:rPr>
        <w:t xml:space="preserve">ankruptcy </w:t>
      </w:r>
      <w:r w:rsidR="007460C3" w:rsidRPr="007460C3">
        <w:rPr>
          <w:rFonts w:ascii="Times New Roman" w:eastAsia="Times New Roman" w:hAnsi="Times New Roman" w:cs="Times New Roman"/>
          <w:color w:val="202124"/>
          <w:sz w:val="24"/>
          <w:szCs w:val="24"/>
        </w:rPr>
        <w:t>c</w:t>
      </w:r>
      <w:r w:rsidRPr="00015802">
        <w:rPr>
          <w:rFonts w:ascii="Times New Roman" w:eastAsia="Times New Roman" w:hAnsi="Times New Roman" w:cs="Times New Roman"/>
          <w:color w:val="202124"/>
          <w:sz w:val="24"/>
          <w:szCs w:val="24"/>
        </w:rPr>
        <w:t>ourt</w:t>
      </w:r>
      <w:r w:rsidR="007460C3" w:rsidRPr="007460C3">
        <w:rPr>
          <w:rFonts w:ascii="Times New Roman" w:eastAsia="Times New Roman" w:hAnsi="Times New Roman" w:cs="Times New Roman"/>
          <w:color w:val="202124"/>
          <w:sz w:val="24"/>
          <w:szCs w:val="24"/>
        </w:rPr>
        <w:t xml:space="preserve">’s finding </w:t>
      </w:r>
      <w:r w:rsidRPr="00015802">
        <w:rPr>
          <w:rFonts w:ascii="Times New Roman" w:eastAsia="Times New Roman" w:hAnsi="Times New Roman" w:cs="Times New Roman"/>
          <w:color w:val="202124"/>
          <w:sz w:val="24"/>
          <w:szCs w:val="24"/>
        </w:rPr>
        <w:t>that LTL was in financial distress at the time of its bankruptcy filing</w:t>
      </w:r>
      <w:r w:rsidR="00CF2540">
        <w:rPr>
          <w:rFonts w:ascii="Times New Roman" w:eastAsia="Times New Roman" w:hAnsi="Times New Roman" w:cs="Times New Roman"/>
          <w:color w:val="202124"/>
          <w:sz w:val="24"/>
          <w:szCs w:val="24"/>
        </w:rPr>
        <w:t xml:space="preserve">.  </w:t>
      </w:r>
      <w:r w:rsidR="00CF2540" w:rsidRPr="00CF2540">
        <w:rPr>
          <w:rFonts w:ascii="Times New Roman" w:eastAsia="Times New Roman" w:hAnsi="Times New Roman" w:cs="Times New Roman"/>
          <w:i/>
          <w:iCs/>
          <w:color w:val="202124"/>
          <w:sz w:val="24"/>
          <w:szCs w:val="24"/>
        </w:rPr>
        <w:t>Id</w:t>
      </w:r>
      <w:r w:rsidR="00CF2540">
        <w:rPr>
          <w:rFonts w:ascii="Times New Roman" w:eastAsia="Times New Roman" w:hAnsi="Times New Roman" w:cs="Times New Roman"/>
          <w:color w:val="202124"/>
          <w:sz w:val="24"/>
          <w:szCs w:val="24"/>
        </w:rPr>
        <w:t xml:space="preserve">. at 106.  </w:t>
      </w:r>
      <w:r w:rsidR="007460C3" w:rsidRPr="007460C3">
        <w:rPr>
          <w:rFonts w:ascii="Times New Roman" w:eastAsia="Times New Roman" w:hAnsi="Times New Roman" w:cs="Times New Roman"/>
          <w:color w:val="202124"/>
          <w:sz w:val="24"/>
          <w:szCs w:val="24"/>
        </w:rPr>
        <w:t>The court noted that t</w:t>
      </w:r>
      <w:r w:rsidRPr="00015802">
        <w:rPr>
          <w:rFonts w:ascii="Times New Roman" w:eastAsia="Times New Roman" w:hAnsi="Times New Roman" w:cs="Times New Roman"/>
          <w:color w:val="202124"/>
          <w:sz w:val="24"/>
          <w:szCs w:val="24"/>
        </w:rPr>
        <w:t xml:space="preserve">he </w:t>
      </w:r>
      <w:r w:rsidR="002074A7">
        <w:rPr>
          <w:rFonts w:ascii="Times New Roman" w:eastAsia="Times New Roman" w:hAnsi="Times New Roman" w:cs="Times New Roman"/>
          <w:color w:val="202124"/>
          <w:sz w:val="24"/>
          <w:szCs w:val="24"/>
        </w:rPr>
        <w:t>F</w:t>
      </w:r>
      <w:r w:rsidRPr="00015802">
        <w:rPr>
          <w:rFonts w:ascii="Times New Roman" w:eastAsia="Times New Roman" w:hAnsi="Times New Roman" w:cs="Times New Roman"/>
          <w:color w:val="202124"/>
          <w:sz w:val="24"/>
          <w:szCs w:val="24"/>
        </w:rPr>
        <w:t xml:space="preserve">unding </w:t>
      </w:r>
      <w:r w:rsidR="002074A7">
        <w:rPr>
          <w:rFonts w:ascii="Times New Roman" w:eastAsia="Times New Roman" w:hAnsi="Times New Roman" w:cs="Times New Roman"/>
          <w:color w:val="202124"/>
          <w:sz w:val="24"/>
          <w:szCs w:val="24"/>
        </w:rPr>
        <w:t>A</w:t>
      </w:r>
      <w:r w:rsidRPr="00015802">
        <w:rPr>
          <w:rFonts w:ascii="Times New Roman" w:eastAsia="Times New Roman" w:hAnsi="Times New Roman" w:cs="Times New Roman"/>
          <w:color w:val="202124"/>
          <w:sz w:val="24"/>
          <w:szCs w:val="24"/>
        </w:rPr>
        <w:t>greement gave LTL</w:t>
      </w:r>
      <w:r w:rsidR="002074A7">
        <w:rPr>
          <w:rFonts w:ascii="Times New Roman" w:eastAsia="Times New Roman" w:hAnsi="Times New Roman" w:cs="Times New Roman"/>
          <w:color w:val="202124"/>
          <w:sz w:val="24"/>
          <w:szCs w:val="24"/>
        </w:rPr>
        <w:t xml:space="preserve"> – </w:t>
      </w:r>
      <w:r w:rsidRPr="00015802">
        <w:rPr>
          <w:rFonts w:ascii="Times New Roman" w:eastAsia="Times New Roman" w:hAnsi="Times New Roman" w:cs="Times New Roman"/>
          <w:color w:val="202124"/>
          <w:sz w:val="24"/>
          <w:szCs w:val="24"/>
        </w:rPr>
        <w:t>at minimum</w:t>
      </w:r>
      <w:r w:rsidR="002074A7">
        <w:rPr>
          <w:rFonts w:ascii="Times New Roman" w:eastAsia="Times New Roman" w:hAnsi="Times New Roman" w:cs="Times New Roman"/>
          <w:color w:val="202124"/>
          <w:sz w:val="24"/>
          <w:szCs w:val="24"/>
        </w:rPr>
        <w:t xml:space="preserve"> – </w:t>
      </w:r>
      <w:r w:rsidRPr="00015802">
        <w:rPr>
          <w:rFonts w:ascii="Times New Roman" w:eastAsia="Times New Roman" w:hAnsi="Times New Roman" w:cs="Times New Roman"/>
          <w:color w:val="202124"/>
          <w:sz w:val="24"/>
          <w:szCs w:val="24"/>
        </w:rPr>
        <w:t>a $61.5 billion payment right</w:t>
      </w:r>
      <w:r w:rsidR="007F27BA">
        <w:rPr>
          <w:rFonts w:ascii="Times New Roman" w:eastAsia="Times New Roman" w:hAnsi="Times New Roman" w:cs="Times New Roman"/>
          <w:color w:val="202124"/>
          <w:sz w:val="24"/>
          <w:szCs w:val="24"/>
        </w:rPr>
        <w:t>,</w:t>
      </w:r>
      <w:r w:rsidRPr="00015802">
        <w:rPr>
          <w:rFonts w:ascii="Times New Roman" w:eastAsia="Times New Roman" w:hAnsi="Times New Roman" w:cs="Times New Roman"/>
          <w:color w:val="202124"/>
          <w:sz w:val="24"/>
          <w:szCs w:val="24"/>
        </w:rPr>
        <w:t xml:space="preserve"> jointly and severally</w:t>
      </w:r>
      <w:r w:rsidR="007F27BA">
        <w:rPr>
          <w:rFonts w:ascii="Times New Roman" w:eastAsia="Times New Roman" w:hAnsi="Times New Roman" w:cs="Times New Roman"/>
          <w:color w:val="202124"/>
          <w:sz w:val="24"/>
          <w:szCs w:val="24"/>
        </w:rPr>
        <w:t>,</w:t>
      </w:r>
      <w:r w:rsidRPr="00015802">
        <w:rPr>
          <w:rFonts w:ascii="Times New Roman" w:eastAsia="Times New Roman" w:hAnsi="Times New Roman" w:cs="Times New Roman"/>
          <w:color w:val="202124"/>
          <w:sz w:val="24"/>
          <w:szCs w:val="24"/>
        </w:rPr>
        <w:t xml:space="preserve"> against </w:t>
      </w:r>
      <w:r w:rsidR="007460C3" w:rsidRPr="007460C3">
        <w:rPr>
          <w:rFonts w:ascii="Times New Roman" w:eastAsia="Times New Roman" w:hAnsi="Times New Roman" w:cs="Times New Roman"/>
          <w:color w:val="202124"/>
          <w:sz w:val="24"/>
          <w:szCs w:val="24"/>
        </w:rPr>
        <w:t xml:space="preserve">Old </w:t>
      </w:r>
      <w:r w:rsidRPr="00015802">
        <w:rPr>
          <w:rFonts w:ascii="Times New Roman" w:eastAsia="Times New Roman" w:hAnsi="Times New Roman" w:cs="Times New Roman"/>
          <w:color w:val="202124"/>
          <w:sz w:val="24"/>
          <w:szCs w:val="24"/>
        </w:rPr>
        <w:t xml:space="preserve">J&amp;J and </w:t>
      </w:r>
      <w:r w:rsidR="007460C3" w:rsidRPr="007460C3">
        <w:rPr>
          <w:rFonts w:ascii="Times New Roman" w:eastAsia="Times New Roman" w:hAnsi="Times New Roman" w:cs="Times New Roman"/>
          <w:color w:val="202124"/>
          <w:sz w:val="24"/>
          <w:szCs w:val="24"/>
        </w:rPr>
        <w:t>the Parent Company</w:t>
      </w:r>
      <w:r w:rsidRPr="00015802">
        <w:rPr>
          <w:rFonts w:ascii="Times New Roman" w:eastAsia="Times New Roman" w:hAnsi="Times New Roman" w:cs="Times New Roman"/>
          <w:color w:val="202124"/>
          <w:sz w:val="24"/>
          <w:szCs w:val="24"/>
        </w:rPr>
        <w:t xml:space="preserve">. </w:t>
      </w:r>
      <w:r w:rsidR="007460C3" w:rsidRPr="007460C3">
        <w:rPr>
          <w:rFonts w:ascii="Times New Roman" w:eastAsia="Times New Roman" w:hAnsi="Times New Roman" w:cs="Times New Roman"/>
          <w:color w:val="202124"/>
          <w:sz w:val="24"/>
          <w:szCs w:val="24"/>
        </w:rPr>
        <w:t>The court found that th</w:t>
      </w:r>
      <w:r w:rsidR="002074A7">
        <w:rPr>
          <w:rFonts w:ascii="Times New Roman" w:eastAsia="Times New Roman" w:hAnsi="Times New Roman" w:cs="Times New Roman"/>
          <w:color w:val="202124"/>
          <w:sz w:val="24"/>
          <w:szCs w:val="24"/>
        </w:rPr>
        <w:t>e Funding Ag</w:t>
      </w:r>
      <w:r w:rsidR="007460C3" w:rsidRPr="007460C3">
        <w:rPr>
          <w:rFonts w:ascii="Times New Roman" w:eastAsia="Times New Roman" w:hAnsi="Times New Roman" w:cs="Times New Roman"/>
          <w:color w:val="202124"/>
          <w:sz w:val="24"/>
          <w:szCs w:val="24"/>
        </w:rPr>
        <w:t xml:space="preserve">reement </w:t>
      </w:r>
      <w:r w:rsidRPr="00015802">
        <w:rPr>
          <w:rFonts w:ascii="Times New Roman" w:eastAsia="Times New Roman" w:hAnsi="Times New Roman" w:cs="Times New Roman"/>
          <w:color w:val="202124"/>
          <w:sz w:val="24"/>
          <w:szCs w:val="24"/>
        </w:rPr>
        <w:t xml:space="preserve">provided LTL a right to cash that was very valuable, likely to grow, and minimally conditional. </w:t>
      </w:r>
      <w:r w:rsidR="00CF2540" w:rsidRPr="00CF2540">
        <w:rPr>
          <w:rFonts w:ascii="Times New Roman" w:eastAsia="Times New Roman" w:hAnsi="Times New Roman" w:cs="Times New Roman"/>
          <w:i/>
          <w:iCs/>
          <w:color w:val="202124"/>
          <w:sz w:val="24"/>
          <w:szCs w:val="24"/>
        </w:rPr>
        <w:t>Id</w:t>
      </w:r>
      <w:r w:rsidR="00CF2540">
        <w:rPr>
          <w:rFonts w:ascii="Times New Roman" w:eastAsia="Times New Roman" w:hAnsi="Times New Roman" w:cs="Times New Roman"/>
          <w:color w:val="202124"/>
          <w:sz w:val="24"/>
          <w:szCs w:val="24"/>
        </w:rPr>
        <w:t xml:space="preserve">. </w:t>
      </w:r>
      <w:r w:rsidR="007460C3" w:rsidRPr="007460C3">
        <w:rPr>
          <w:rFonts w:ascii="Times New Roman" w:eastAsia="Times New Roman" w:hAnsi="Times New Roman" w:cs="Times New Roman"/>
          <w:color w:val="202124"/>
          <w:sz w:val="24"/>
          <w:szCs w:val="24"/>
        </w:rPr>
        <w:t xml:space="preserve">The court reasoned </w:t>
      </w:r>
      <w:r w:rsidRPr="00015802">
        <w:rPr>
          <w:rFonts w:ascii="Times New Roman" w:eastAsia="Times New Roman" w:hAnsi="Times New Roman" w:cs="Times New Roman"/>
          <w:color w:val="202124"/>
          <w:sz w:val="24"/>
          <w:szCs w:val="24"/>
        </w:rPr>
        <w:t xml:space="preserve">this right was reliable, as </w:t>
      </w:r>
      <w:r w:rsidR="007460C3" w:rsidRPr="007460C3">
        <w:rPr>
          <w:rFonts w:ascii="Times New Roman" w:eastAsia="Times New Roman" w:hAnsi="Times New Roman" w:cs="Times New Roman"/>
          <w:color w:val="202124"/>
          <w:sz w:val="24"/>
          <w:szCs w:val="24"/>
        </w:rPr>
        <w:t xml:space="preserve">Old </w:t>
      </w:r>
      <w:r w:rsidRPr="00015802">
        <w:rPr>
          <w:rFonts w:ascii="Times New Roman" w:eastAsia="Times New Roman" w:hAnsi="Times New Roman" w:cs="Times New Roman"/>
          <w:color w:val="202124"/>
          <w:sz w:val="24"/>
          <w:szCs w:val="24"/>
        </w:rPr>
        <w:t xml:space="preserve">J&amp;J and </w:t>
      </w:r>
      <w:r w:rsidR="007460C3" w:rsidRPr="007460C3">
        <w:rPr>
          <w:rFonts w:ascii="Times New Roman" w:eastAsia="Times New Roman" w:hAnsi="Times New Roman" w:cs="Times New Roman"/>
          <w:color w:val="202124"/>
          <w:sz w:val="24"/>
          <w:szCs w:val="24"/>
        </w:rPr>
        <w:t xml:space="preserve">the Parent Company </w:t>
      </w:r>
      <w:r w:rsidRPr="00015802">
        <w:rPr>
          <w:rFonts w:ascii="Times New Roman" w:eastAsia="Times New Roman" w:hAnsi="Times New Roman" w:cs="Times New Roman"/>
          <w:color w:val="202124"/>
          <w:sz w:val="24"/>
          <w:szCs w:val="24"/>
        </w:rPr>
        <w:t>were highly creditworthy counterparties with the capacity to satisfy it</w:t>
      </w:r>
      <w:r w:rsidR="007460C3" w:rsidRPr="007460C3">
        <w:rPr>
          <w:rFonts w:ascii="Times New Roman" w:eastAsia="Times New Roman" w:hAnsi="Times New Roman" w:cs="Times New Roman"/>
          <w:color w:val="202124"/>
          <w:sz w:val="24"/>
          <w:szCs w:val="24"/>
        </w:rPr>
        <w:t>, noting that the Parent Company’s bal</w:t>
      </w:r>
      <w:r w:rsidRPr="00015802">
        <w:rPr>
          <w:rFonts w:ascii="Times New Roman" w:eastAsia="Times New Roman" w:hAnsi="Times New Roman" w:cs="Times New Roman"/>
          <w:color w:val="202124"/>
          <w:sz w:val="24"/>
          <w:szCs w:val="24"/>
        </w:rPr>
        <w:t>ance sheet was exceptionally strong</w:t>
      </w:r>
      <w:r w:rsidR="00CC7016">
        <w:rPr>
          <w:rFonts w:ascii="Times New Roman" w:eastAsia="Times New Roman" w:hAnsi="Times New Roman" w:cs="Times New Roman"/>
          <w:color w:val="202124"/>
          <w:sz w:val="24"/>
          <w:szCs w:val="24"/>
        </w:rPr>
        <w:t xml:space="preserve"> -</w:t>
      </w:r>
      <w:r w:rsidRPr="00015802">
        <w:rPr>
          <w:rFonts w:ascii="Times New Roman" w:eastAsia="Times New Roman" w:hAnsi="Times New Roman" w:cs="Times New Roman"/>
          <w:color w:val="202124"/>
          <w:sz w:val="24"/>
          <w:szCs w:val="24"/>
        </w:rPr>
        <w:t xml:space="preserve"> containing $400 billion in equity value</w:t>
      </w:r>
      <w:r w:rsidR="00CC7016">
        <w:rPr>
          <w:rFonts w:ascii="Times New Roman" w:eastAsia="Times New Roman" w:hAnsi="Times New Roman" w:cs="Times New Roman"/>
          <w:color w:val="202124"/>
          <w:sz w:val="24"/>
          <w:szCs w:val="24"/>
        </w:rPr>
        <w:t xml:space="preserve"> -</w:t>
      </w:r>
      <w:r w:rsidR="007460C3" w:rsidRPr="007460C3">
        <w:rPr>
          <w:rFonts w:ascii="Times New Roman" w:eastAsia="Times New Roman" w:hAnsi="Times New Roman" w:cs="Times New Roman"/>
          <w:color w:val="202124"/>
          <w:sz w:val="24"/>
          <w:szCs w:val="24"/>
        </w:rPr>
        <w:t xml:space="preserve"> and that the Parent Company enjoyed a</w:t>
      </w:r>
      <w:r w:rsidRPr="00015802">
        <w:rPr>
          <w:rFonts w:ascii="Times New Roman" w:eastAsia="Times New Roman" w:hAnsi="Times New Roman" w:cs="Times New Roman"/>
          <w:color w:val="202124"/>
          <w:sz w:val="24"/>
          <w:szCs w:val="24"/>
        </w:rPr>
        <w:t xml:space="preserve"> AAA credit rating and $31 billion in cash and marketable securities.</w:t>
      </w:r>
      <w:r w:rsidR="00476D79">
        <w:rPr>
          <w:rFonts w:ascii="Times New Roman" w:eastAsia="Times New Roman" w:hAnsi="Times New Roman" w:cs="Times New Roman"/>
          <w:color w:val="202124"/>
          <w:sz w:val="24"/>
          <w:szCs w:val="24"/>
        </w:rPr>
        <w:t xml:space="preserve">  </w:t>
      </w:r>
      <w:r w:rsidR="00476D79" w:rsidRPr="00476D79">
        <w:rPr>
          <w:rFonts w:ascii="Times New Roman" w:eastAsia="Times New Roman" w:hAnsi="Times New Roman" w:cs="Times New Roman"/>
          <w:i/>
          <w:iCs/>
          <w:color w:val="202124"/>
          <w:sz w:val="24"/>
          <w:szCs w:val="24"/>
        </w:rPr>
        <w:t>Id</w:t>
      </w:r>
      <w:r w:rsidR="00476D79">
        <w:rPr>
          <w:rFonts w:ascii="Times New Roman" w:eastAsia="Times New Roman" w:hAnsi="Times New Roman" w:cs="Times New Roman"/>
          <w:color w:val="202124"/>
          <w:sz w:val="24"/>
          <w:szCs w:val="24"/>
        </w:rPr>
        <w:t xml:space="preserve">. </w:t>
      </w:r>
    </w:p>
    <w:p w14:paraId="01F708BA" w14:textId="51332D5C" w:rsidR="00015802" w:rsidRPr="00015802" w:rsidRDefault="00476D79" w:rsidP="00015802">
      <w:pPr>
        <w:spacing w:after="0" w:line="480" w:lineRule="auto"/>
        <w:ind w:firstLine="720"/>
        <w:jc w:val="both"/>
        <w:textAlignment w:val="baseline"/>
        <w:rPr>
          <w:rFonts w:ascii="Times New Roman" w:eastAsia="Times New Roman" w:hAnsi="Times New Roman" w:cs="Times New Roman"/>
          <w:color w:val="202124"/>
          <w:sz w:val="24"/>
          <w:szCs w:val="24"/>
        </w:rPr>
      </w:pPr>
      <w:r w:rsidRPr="00476D79">
        <w:rPr>
          <w:rFonts w:ascii="Times New Roman" w:eastAsia="Times New Roman" w:hAnsi="Times New Roman" w:cs="Times New Roman"/>
          <w:color w:val="202124"/>
          <w:sz w:val="24"/>
          <w:szCs w:val="24"/>
        </w:rPr>
        <w:t>The court also considered the relative success Old J&amp;J had enjoyed in litigation, noting:</w:t>
      </w:r>
      <w:r w:rsidR="00015802" w:rsidRPr="00015802">
        <w:rPr>
          <w:rFonts w:ascii="Times New Roman" w:eastAsia="Times New Roman" w:hAnsi="Times New Roman" w:cs="Times New Roman"/>
          <w:color w:val="202124"/>
          <w:sz w:val="24"/>
          <w:szCs w:val="24"/>
        </w:rPr>
        <w:t xml:space="preserve"> (a) the settlement of 6,800 talc-related claims for under $1 billion prior to bankruptcy, (b) obtaining dismissal of 1,300 ovarian cancer and 250 mesothelioma claims without payment, and (c) receiving adverse verdicts in a minority of completed trials. </w:t>
      </w:r>
      <w:r w:rsidR="00CF2540" w:rsidRPr="00CF2540">
        <w:rPr>
          <w:rFonts w:ascii="Times New Roman" w:eastAsia="Times New Roman" w:hAnsi="Times New Roman" w:cs="Times New Roman"/>
          <w:i/>
          <w:iCs/>
          <w:color w:val="202124"/>
          <w:sz w:val="24"/>
          <w:szCs w:val="24"/>
        </w:rPr>
        <w:t>Id</w:t>
      </w:r>
      <w:r w:rsidR="00CF2540">
        <w:rPr>
          <w:rFonts w:ascii="Times New Roman" w:eastAsia="Times New Roman" w:hAnsi="Times New Roman" w:cs="Times New Roman"/>
          <w:color w:val="202124"/>
          <w:sz w:val="24"/>
          <w:szCs w:val="24"/>
        </w:rPr>
        <w:t>. at 107-108.</w:t>
      </w:r>
      <w:r w:rsidRPr="00476D79">
        <w:rPr>
          <w:rFonts w:ascii="Times New Roman" w:eastAsia="Times New Roman" w:hAnsi="Times New Roman" w:cs="Times New Roman"/>
          <w:color w:val="202124"/>
          <w:sz w:val="24"/>
          <w:szCs w:val="24"/>
        </w:rPr>
        <w:t xml:space="preserve"> </w:t>
      </w:r>
      <w:r w:rsidR="00CF2540">
        <w:rPr>
          <w:rFonts w:ascii="Times New Roman" w:eastAsia="Times New Roman" w:hAnsi="Times New Roman" w:cs="Times New Roman"/>
          <w:color w:val="202124"/>
          <w:sz w:val="24"/>
          <w:szCs w:val="24"/>
        </w:rPr>
        <w:t xml:space="preserve"> </w:t>
      </w:r>
      <w:r w:rsidRPr="00476D79">
        <w:rPr>
          <w:rFonts w:ascii="Times New Roman" w:eastAsia="Times New Roman" w:hAnsi="Times New Roman" w:cs="Times New Roman"/>
          <w:color w:val="202124"/>
          <w:sz w:val="24"/>
          <w:szCs w:val="24"/>
        </w:rPr>
        <w:t xml:space="preserve">The court </w:t>
      </w:r>
      <w:r w:rsidR="00015802" w:rsidRPr="00015802">
        <w:rPr>
          <w:rFonts w:ascii="Times New Roman" w:eastAsia="Times New Roman" w:hAnsi="Times New Roman" w:cs="Times New Roman"/>
          <w:color w:val="202124"/>
          <w:sz w:val="24"/>
          <w:szCs w:val="24"/>
        </w:rPr>
        <w:t>held that the</w:t>
      </w:r>
      <w:r w:rsidRPr="00476D79">
        <w:rPr>
          <w:rFonts w:ascii="Times New Roman" w:eastAsia="Times New Roman" w:hAnsi="Times New Roman" w:cs="Times New Roman"/>
          <w:color w:val="202124"/>
          <w:sz w:val="24"/>
          <w:szCs w:val="24"/>
        </w:rPr>
        <w:t xml:space="preserve"> bankruptcy court’s </w:t>
      </w:r>
      <w:r w:rsidR="00015802" w:rsidRPr="00015802">
        <w:rPr>
          <w:rFonts w:ascii="Times New Roman" w:eastAsia="Times New Roman" w:hAnsi="Times New Roman" w:cs="Times New Roman"/>
          <w:color w:val="202124"/>
          <w:sz w:val="24"/>
          <w:szCs w:val="24"/>
        </w:rPr>
        <w:t xml:space="preserve">projections ignored the possibility of meaningful settlement and/or successful defenses to the claims against </w:t>
      </w:r>
      <w:r w:rsidRPr="00476D79">
        <w:rPr>
          <w:rFonts w:ascii="Times New Roman" w:eastAsia="Times New Roman" w:hAnsi="Times New Roman" w:cs="Times New Roman"/>
          <w:color w:val="202124"/>
          <w:sz w:val="24"/>
          <w:szCs w:val="24"/>
        </w:rPr>
        <w:t>the Parent Company</w:t>
      </w:r>
      <w:r w:rsidR="00015802" w:rsidRPr="00015802">
        <w:rPr>
          <w:rFonts w:ascii="Times New Roman" w:eastAsia="Times New Roman" w:hAnsi="Times New Roman" w:cs="Times New Roman"/>
          <w:color w:val="202124"/>
          <w:sz w:val="24"/>
          <w:szCs w:val="24"/>
        </w:rPr>
        <w:t>. W</w:t>
      </w:r>
      <w:r w:rsidRPr="00476D79">
        <w:rPr>
          <w:rFonts w:ascii="Times New Roman" w:eastAsia="Times New Roman" w:hAnsi="Times New Roman" w:cs="Times New Roman"/>
          <w:color w:val="202124"/>
          <w:sz w:val="24"/>
          <w:szCs w:val="24"/>
        </w:rPr>
        <w:t xml:space="preserve">hen comparing the </w:t>
      </w:r>
      <w:r w:rsidR="00015802" w:rsidRPr="00015802">
        <w:rPr>
          <w:rFonts w:ascii="Times New Roman" w:eastAsia="Times New Roman" w:hAnsi="Times New Roman" w:cs="Times New Roman"/>
          <w:color w:val="202124"/>
          <w:sz w:val="24"/>
          <w:szCs w:val="24"/>
        </w:rPr>
        <w:t xml:space="preserve">five-year litigation costs thus far ($4.5 billion) against LTL’s funding right ($61.5 billion), the </w:t>
      </w:r>
      <w:r w:rsidRPr="00476D79">
        <w:rPr>
          <w:rFonts w:ascii="Times New Roman" w:eastAsia="Times New Roman" w:hAnsi="Times New Roman" w:cs="Times New Roman"/>
          <w:color w:val="202124"/>
          <w:sz w:val="24"/>
          <w:szCs w:val="24"/>
        </w:rPr>
        <w:t xml:space="preserve">court </w:t>
      </w:r>
      <w:r w:rsidR="00015802" w:rsidRPr="00015802">
        <w:rPr>
          <w:rFonts w:ascii="Times New Roman" w:eastAsia="Times New Roman" w:hAnsi="Times New Roman" w:cs="Times New Roman"/>
          <w:color w:val="202124"/>
          <w:sz w:val="24"/>
          <w:szCs w:val="24"/>
        </w:rPr>
        <w:lastRenderedPageBreak/>
        <w:t>concluded that there was no likely need in the present or near-term for LTL to file for bankruptcy.</w:t>
      </w:r>
      <w:r>
        <w:rPr>
          <w:rFonts w:ascii="Times New Roman" w:eastAsia="Times New Roman" w:hAnsi="Times New Roman" w:cs="Times New Roman"/>
          <w:color w:val="202124"/>
          <w:sz w:val="24"/>
          <w:szCs w:val="24"/>
        </w:rPr>
        <w:t xml:space="preserve">  </w:t>
      </w:r>
      <w:r w:rsidRPr="00476D79">
        <w:rPr>
          <w:rFonts w:ascii="Times New Roman" w:eastAsia="Times New Roman" w:hAnsi="Times New Roman" w:cs="Times New Roman"/>
          <w:i/>
          <w:iCs/>
          <w:color w:val="202124"/>
          <w:sz w:val="24"/>
          <w:szCs w:val="24"/>
        </w:rPr>
        <w:t>Id.</w:t>
      </w:r>
      <w:r>
        <w:rPr>
          <w:rFonts w:ascii="Times New Roman" w:eastAsia="Times New Roman" w:hAnsi="Times New Roman" w:cs="Times New Roman"/>
          <w:color w:val="202124"/>
          <w:sz w:val="24"/>
          <w:szCs w:val="24"/>
        </w:rPr>
        <w:t xml:space="preserve"> </w:t>
      </w:r>
    </w:p>
    <w:p w14:paraId="7D1675B9" w14:textId="33600CD2" w:rsidR="00015802" w:rsidRPr="00015802" w:rsidRDefault="00015802" w:rsidP="00015802">
      <w:pPr>
        <w:spacing w:after="0" w:line="480" w:lineRule="auto"/>
        <w:ind w:firstLine="720"/>
        <w:jc w:val="both"/>
        <w:textAlignment w:val="baseline"/>
        <w:rPr>
          <w:rFonts w:ascii="Times New Roman" w:eastAsia="Times New Roman" w:hAnsi="Times New Roman" w:cs="Times New Roman"/>
          <w:color w:val="202124"/>
          <w:sz w:val="24"/>
          <w:szCs w:val="24"/>
        </w:rPr>
      </w:pPr>
      <w:r w:rsidRPr="00015802">
        <w:rPr>
          <w:rFonts w:ascii="Times New Roman" w:eastAsia="Times New Roman" w:hAnsi="Times New Roman" w:cs="Times New Roman"/>
          <w:color w:val="202124"/>
          <w:sz w:val="24"/>
          <w:szCs w:val="24"/>
        </w:rPr>
        <w:t>The</w:t>
      </w:r>
      <w:r w:rsidR="00476D79" w:rsidRPr="00476D79">
        <w:rPr>
          <w:rFonts w:ascii="Times New Roman" w:eastAsia="Times New Roman" w:hAnsi="Times New Roman" w:cs="Times New Roman"/>
          <w:color w:val="202124"/>
          <w:sz w:val="24"/>
          <w:szCs w:val="24"/>
        </w:rPr>
        <w:t xml:space="preserve"> court rejected the concept that e</w:t>
      </w:r>
      <w:r w:rsidRPr="00015802">
        <w:rPr>
          <w:rFonts w:ascii="Times New Roman" w:eastAsia="Times New Roman" w:hAnsi="Times New Roman" w:cs="Times New Roman"/>
          <w:color w:val="202124"/>
          <w:sz w:val="24"/>
          <w:szCs w:val="24"/>
        </w:rPr>
        <w:t xml:space="preserve">ven if the bankruptcy was not filed in good faith, “unusual circumstances” necessitated a finding that dismissal was not in the interest of creditors and the estate under </w:t>
      </w:r>
      <w:r w:rsidR="00574BFD">
        <w:rPr>
          <w:rFonts w:ascii="Times New Roman" w:eastAsia="Times New Roman" w:hAnsi="Times New Roman" w:cs="Times New Roman"/>
          <w:color w:val="202124"/>
          <w:sz w:val="24"/>
          <w:szCs w:val="24"/>
        </w:rPr>
        <w:t>§</w:t>
      </w:r>
      <w:r w:rsidR="00574BFD" w:rsidRPr="00015802">
        <w:rPr>
          <w:rFonts w:ascii="Times New Roman" w:eastAsia="Times New Roman" w:hAnsi="Times New Roman" w:cs="Times New Roman"/>
          <w:color w:val="202124"/>
          <w:sz w:val="24"/>
          <w:szCs w:val="24"/>
        </w:rPr>
        <w:t xml:space="preserve"> </w:t>
      </w:r>
      <w:r w:rsidRPr="00015802">
        <w:rPr>
          <w:rFonts w:ascii="Times New Roman" w:eastAsia="Times New Roman" w:hAnsi="Times New Roman" w:cs="Times New Roman"/>
          <w:color w:val="202124"/>
          <w:sz w:val="24"/>
          <w:szCs w:val="24"/>
        </w:rPr>
        <w:t xml:space="preserve">1112(b)(2) of the Bankruptcy Code. </w:t>
      </w:r>
      <w:r w:rsidR="00843DFA" w:rsidRPr="00843DFA">
        <w:rPr>
          <w:rFonts w:ascii="Times New Roman" w:eastAsia="Times New Roman" w:hAnsi="Times New Roman" w:cs="Times New Roman"/>
          <w:i/>
          <w:iCs/>
          <w:color w:val="202124"/>
          <w:sz w:val="24"/>
          <w:szCs w:val="24"/>
        </w:rPr>
        <w:t>Id</w:t>
      </w:r>
      <w:r w:rsidR="00843DFA">
        <w:rPr>
          <w:rFonts w:ascii="Times New Roman" w:eastAsia="Times New Roman" w:hAnsi="Times New Roman" w:cs="Times New Roman"/>
          <w:color w:val="202124"/>
          <w:sz w:val="24"/>
          <w:szCs w:val="24"/>
        </w:rPr>
        <w:t xml:space="preserve">. at 110.  </w:t>
      </w:r>
      <w:r w:rsidR="00476D79" w:rsidRPr="00476D79">
        <w:rPr>
          <w:rFonts w:ascii="Times New Roman" w:eastAsia="Times New Roman" w:hAnsi="Times New Roman" w:cs="Times New Roman"/>
          <w:color w:val="202124"/>
          <w:sz w:val="24"/>
          <w:szCs w:val="24"/>
        </w:rPr>
        <w:t>The court n</w:t>
      </w:r>
      <w:r w:rsidRPr="00015802">
        <w:rPr>
          <w:rFonts w:ascii="Times New Roman" w:eastAsia="Times New Roman" w:hAnsi="Times New Roman" w:cs="Times New Roman"/>
          <w:color w:val="202124"/>
          <w:sz w:val="24"/>
          <w:szCs w:val="24"/>
        </w:rPr>
        <w:t>oted that the only unusual circumstance present was that LTL was entering bankruptcy in a highly solvent position with access to sufficient cash.</w:t>
      </w:r>
      <w:r w:rsidR="00476D79">
        <w:rPr>
          <w:rFonts w:ascii="Times New Roman" w:eastAsia="Times New Roman" w:hAnsi="Times New Roman" w:cs="Times New Roman"/>
          <w:color w:val="202124"/>
          <w:sz w:val="24"/>
          <w:szCs w:val="24"/>
        </w:rPr>
        <w:t xml:space="preserve">  </w:t>
      </w:r>
      <w:r w:rsidR="00476D79" w:rsidRPr="00476D79">
        <w:rPr>
          <w:rFonts w:ascii="Times New Roman" w:eastAsia="Times New Roman" w:hAnsi="Times New Roman" w:cs="Times New Roman"/>
          <w:i/>
          <w:iCs/>
          <w:color w:val="202124"/>
          <w:sz w:val="24"/>
          <w:szCs w:val="24"/>
        </w:rPr>
        <w:t>Id</w:t>
      </w:r>
      <w:r w:rsidR="00476D79">
        <w:rPr>
          <w:rFonts w:ascii="Times New Roman" w:eastAsia="Times New Roman" w:hAnsi="Times New Roman" w:cs="Times New Roman"/>
          <w:color w:val="202124"/>
          <w:sz w:val="24"/>
          <w:szCs w:val="24"/>
        </w:rPr>
        <w:t xml:space="preserve">. </w:t>
      </w:r>
    </w:p>
    <w:p w14:paraId="3559AAB5" w14:textId="17BC7255" w:rsidR="004B2F29" w:rsidRDefault="004B2F29" w:rsidP="000158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court offered some degree of encouragement to creative lawyers:</w:t>
      </w:r>
    </w:p>
    <w:p w14:paraId="4F9F34E5" w14:textId="06D8AB6F" w:rsidR="004B2F29" w:rsidRDefault="00574BFD" w:rsidP="004B2F29">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[W]</w:t>
      </w:r>
      <w:r w:rsidR="004B2F29" w:rsidRPr="004B2F29">
        <w:rPr>
          <w:rFonts w:ascii="Times New Roman" w:hAnsi="Times New Roman" w:cs="Times New Roman"/>
          <w:sz w:val="24"/>
          <w:szCs w:val="24"/>
        </w:rPr>
        <w:t>e mean not to discourage lawyers from being inventive and management from experimenting with novel solutions. Creative crafting in the law can at times accrue to the benefit of all, or nearly all, stakeholders. Thus we need not lay down a rule that no nontraditional debtor could ever satisfy the Code's good-faith requirement</w:t>
      </w:r>
      <w:r w:rsidR="004B2F29">
        <w:rPr>
          <w:rFonts w:ascii="Times New Roman" w:hAnsi="Times New Roman" w:cs="Times New Roman"/>
          <w:sz w:val="24"/>
          <w:szCs w:val="24"/>
        </w:rPr>
        <w:t>.</w:t>
      </w:r>
    </w:p>
    <w:p w14:paraId="4EDA5FCE" w14:textId="16A8569F" w:rsidR="004B2F29" w:rsidRDefault="004B2F29" w:rsidP="004B2F29">
      <w:pPr>
        <w:spacing w:after="0" w:line="240" w:lineRule="auto"/>
        <w:ind w:right="1440"/>
        <w:jc w:val="both"/>
        <w:rPr>
          <w:rFonts w:ascii="Times New Roman" w:hAnsi="Times New Roman" w:cs="Times New Roman"/>
          <w:sz w:val="24"/>
          <w:szCs w:val="24"/>
        </w:rPr>
      </w:pPr>
    </w:p>
    <w:p w14:paraId="7AF00202" w14:textId="2E49B247" w:rsidR="004B2F29" w:rsidRPr="004B2F29" w:rsidRDefault="004B2F29" w:rsidP="004B2F29">
      <w:pPr>
        <w:spacing w:after="0" w:line="480" w:lineRule="auto"/>
        <w:jc w:val="both"/>
        <w:rPr>
          <w:rFonts w:ascii="Times New Roman" w:hAnsi="Times New Roman" w:cs="Times New Roman"/>
          <w:sz w:val="24"/>
          <w:szCs w:val="24"/>
        </w:rPr>
      </w:pPr>
      <w:r w:rsidRPr="004B2F29">
        <w:rPr>
          <w:rFonts w:ascii="Times New Roman" w:hAnsi="Times New Roman" w:cs="Times New Roman"/>
          <w:i/>
          <w:iCs/>
          <w:sz w:val="24"/>
          <w:szCs w:val="24"/>
        </w:rPr>
        <w:t>Id</w:t>
      </w:r>
      <w:r w:rsidRPr="004B2F29">
        <w:rPr>
          <w:rFonts w:ascii="Times New Roman" w:hAnsi="Times New Roman" w:cs="Times New Roman"/>
          <w:sz w:val="24"/>
          <w:szCs w:val="24"/>
        </w:rPr>
        <w:t xml:space="preserve">. at 111.  However, the court ultimately held that dismissal was </w:t>
      </w:r>
      <w:r>
        <w:rPr>
          <w:rFonts w:ascii="Times New Roman" w:hAnsi="Times New Roman" w:cs="Times New Roman"/>
          <w:sz w:val="24"/>
          <w:szCs w:val="24"/>
        </w:rPr>
        <w:t>warranted</w:t>
      </w:r>
      <w:r w:rsidRPr="004B2F29">
        <w:rPr>
          <w:rFonts w:ascii="Times New Roman" w:hAnsi="Times New Roman" w:cs="Times New Roman"/>
          <w:sz w:val="24"/>
          <w:szCs w:val="24"/>
        </w:rPr>
        <w:t xml:space="preserve">, concluding that “Chapter 11 is appropriate only for entities facing financial distress,” which serves as a safeguard to ensure “that claimants' pre-bankruptcy remedies—here, the chance to prove to a jury of their peers injuries claimed to be caused by a consumer product—are disrupted only when necessary.”  </w:t>
      </w:r>
      <w:r w:rsidRPr="004B2F29">
        <w:rPr>
          <w:rFonts w:ascii="Times New Roman" w:hAnsi="Times New Roman" w:cs="Times New Roman"/>
          <w:i/>
          <w:iCs/>
          <w:sz w:val="24"/>
          <w:szCs w:val="24"/>
        </w:rPr>
        <w:t>Id</w:t>
      </w:r>
      <w:r w:rsidRPr="004B2F29">
        <w:rPr>
          <w:rFonts w:ascii="Times New Roman" w:hAnsi="Times New Roman" w:cs="Times New Roman"/>
          <w:sz w:val="24"/>
          <w:szCs w:val="24"/>
        </w:rPr>
        <w:t>.</w:t>
      </w:r>
      <w:r w:rsidR="008D5251">
        <w:rPr>
          <w:rStyle w:val="FootnoteReference"/>
          <w:rFonts w:ascii="Times New Roman" w:hAnsi="Times New Roman" w:cs="Times New Roman"/>
          <w:sz w:val="24"/>
          <w:szCs w:val="24"/>
        </w:rPr>
        <w:footnoteReference w:id="3"/>
      </w:r>
    </w:p>
    <w:p w14:paraId="66471954" w14:textId="29805DF0" w:rsidR="001648CD" w:rsidRPr="00015802" w:rsidRDefault="008D5251" w:rsidP="000158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015802" w:rsidRPr="00015802">
        <w:rPr>
          <w:rFonts w:ascii="Times New Roman" w:hAnsi="Times New Roman" w:cs="Times New Roman"/>
          <w:sz w:val="24"/>
          <w:szCs w:val="24"/>
        </w:rPr>
        <w:t xml:space="preserve">ithin hours of the </w:t>
      </w:r>
      <w:r>
        <w:rPr>
          <w:rFonts w:ascii="Times New Roman" w:hAnsi="Times New Roman" w:cs="Times New Roman"/>
          <w:sz w:val="24"/>
          <w:szCs w:val="24"/>
        </w:rPr>
        <w:t>b</w:t>
      </w:r>
      <w:r w:rsidR="00015802" w:rsidRPr="00015802">
        <w:rPr>
          <w:rFonts w:ascii="Times New Roman" w:hAnsi="Times New Roman" w:cs="Times New Roman"/>
          <w:sz w:val="24"/>
          <w:szCs w:val="24"/>
        </w:rPr>
        <w:t xml:space="preserve">ankruptcy </w:t>
      </w:r>
      <w:r>
        <w:rPr>
          <w:rFonts w:ascii="Times New Roman" w:hAnsi="Times New Roman" w:cs="Times New Roman"/>
          <w:sz w:val="24"/>
          <w:szCs w:val="24"/>
        </w:rPr>
        <w:t>c</w:t>
      </w:r>
      <w:r w:rsidR="00015802" w:rsidRPr="00015802">
        <w:rPr>
          <w:rFonts w:ascii="Times New Roman" w:hAnsi="Times New Roman" w:cs="Times New Roman"/>
          <w:sz w:val="24"/>
          <w:szCs w:val="24"/>
        </w:rPr>
        <w:t>ourt’s dismissal of the original bankruptcy case</w:t>
      </w:r>
      <w:r>
        <w:rPr>
          <w:rFonts w:ascii="Times New Roman" w:hAnsi="Times New Roman" w:cs="Times New Roman"/>
          <w:sz w:val="24"/>
          <w:szCs w:val="24"/>
        </w:rPr>
        <w:t xml:space="preserve"> in accordance with the Third Circuit’s opinion and judgment</w:t>
      </w:r>
      <w:r w:rsidR="00015802" w:rsidRPr="00015802">
        <w:rPr>
          <w:rFonts w:ascii="Times New Roman" w:hAnsi="Times New Roman" w:cs="Times New Roman"/>
          <w:sz w:val="24"/>
          <w:szCs w:val="24"/>
        </w:rPr>
        <w:t xml:space="preserve">, LTL filed a new case.  </w:t>
      </w:r>
      <w:r>
        <w:rPr>
          <w:rFonts w:ascii="Times New Roman" w:hAnsi="Times New Roman" w:cs="Times New Roman"/>
          <w:sz w:val="24"/>
          <w:szCs w:val="24"/>
        </w:rPr>
        <w:t xml:space="preserve">With this filing, </w:t>
      </w:r>
      <w:r>
        <w:rPr>
          <w:rFonts w:ascii="Times New Roman" w:hAnsi="Times New Roman" w:cs="Times New Roman"/>
          <w:sz w:val="24"/>
          <w:szCs w:val="24"/>
        </w:rPr>
        <w:lastRenderedPageBreak/>
        <w:t xml:space="preserve">LTL included a </w:t>
      </w:r>
      <w:r w:rsidRPr="008D5251">
        <w:rPr>
          <w:rFonts w:ascii="Times New Roman" w:hAnsi="Times New Roman" w:cs="Times New Roman"/>
          <w:sz w:val="24"/>
          <w:szCs w:val="24"/>
        </w:rPr>
        <w:t>p</w:t>
      </w:r>
      <w:r w:rsidR="00015802" w:rsidRPr="008D5251">
        <w:rPr>
          <w:rFonts w:ascii="Times New Roman" w:hAnsi="Times New Roman" w:cs="Times New Roman"/>
          <w:color w:val="292929"/>
          <w:spacing w:val="3"/>
          <w:sz w:val="24"/>
          <w:szCs w:val="24"/>
          <w:shd w:val="clear" w:color="auto" w:fill="FFFFFF"/>
        </w:rPr>
        <w:t xml:space="preserve">lan support agreement that contemplates, among other items, an $8.9 billion commitment from LTL and </w:t>
      </w:r>
      <w:r w:rsidRPr="008D5251">
        <w:rPr>
          <w:rFonts w:ascii="Times New Roman" w:hAnsi="Times New Roman" w:cs="Times New Roman"/>
          <w:color w:val="292929"/>
          <w:spacing w:val="3"/>
          <w:sz w:val="24"/>
          <w:szCs w:val="24"/>
          <w:shd w:val="clear" w:color="auto" w:fill="FFFFFF"/>
        </w:rPr>
        <w:t xml:space="preserve">the Parent Company </w:t>
      </w:r>
      <w:r w:rsidR="00015802" w:rsidRPr="008D5251">
        <w:rPr>
          <w:rFonts w:ascii="Times New Roman" w:hAnsi="Times New Roman" w:cs="Times New Roman"/>
          <w:color w:val="292929"/>
          <w:spacing w:val="3"/>
          <w:sz w:val="24"/>
          <w:szCs w:val="24"/>
          <w:shd w:val="clear" w:color="auto" w:fill="FFFFFF"/>
        </w:rPr>
        <w:t xml:space="preserve">to be funded in a trust over 25 years </w:t>
      </w:r>
      <w:r w:rsidRPr="008D5251">
        <w:rPr>
          <w:rFonts w:ascii="Times New Roman" w:hAnsi="Times New Roman" w:cs="Times New Roman"/>
          <w:color w:val="292929"/>
          <w:spacing w:val="3"/>
          <w:sz w:val="24"/>
          <w:szCs w:val="24"/>
          <w:shd w:val="clear" w:color="auto" w:fill="FFFFFF"/>
        </w:rPr>
        <w:t>t</w:t>
      </w:r>
      <w:r w:rsidR="00015802" w:rsidRPr="008D5251">
        <w:rPr>
          <w:rFonts w:ascii="Times New Roman" w:hAnsi="Times New Roman" w:cs="Times New Roman"/>
          <w:color w:val="292929"/>
          <w:spacing w:val="3"/>
          <w:sz w:val="24"/>
          <w:szCs w:val="24"/>
          <w:shd w:val="clear" w:color="auto" w:fill="FFFFFF"/>
        </w:rPr>
        <w:t>o resolve current and future talc-related claims</w:t>
      </w:r>
      <w:r w:rsidRPr="008D5251">
        <w:rPr>
          <w:rFonts w:ascii="Times New Roman" w:hAnsi="Times New Roman" w:cs="Times New Roman"/>
          <w:color w:val="292929"/>
          <w:spacing w:val="3"/>
          <w:sz w:val="24"/>
          <w:szCs w:val="24"/>
          <w:shd w:val="clear" w:color="auto" w:fill="FFFFFF"/>
        </w:rPr>
        <w:t>.</w:t>
      </w:r>
      <w:r w:rsidR="001D2A03">
        <w:rPr>
          <w:rStyle w:val="FootnoteReference"/>
          <w:rFonts w:ascii="Times New Roman" w:hAnsi="Times New Roman" w:cs="Times New Roman"/>
          <w:color w:val="292929"/>
          <w:spacing w:val="3"/>
          <w:sz w:val="24"/>
          <w:szCs w:val="24"/>
          <w:shd w:val="clear" w:color="auto" w:fill="FFFFFF"/>
        </w:rPr>
        <w:footnoteReference w:id="4"/>
      </w:r>
      <w:r w:rsidR="001D2A03">
        <w:rPr>
          <w:rFonts w:ascii="Times New Roman" w:hAnsi="Times New Roman" w:cs="Times New Roman"/>
          <w:color w:val="292929"/>
          <w:spacing w:val="3"/>
          <w:sz w:val="24"/>
          <w:szCs w:val="24"/>
          <w:shd w:val="clear" w:color="auto" w:fill="FFFFFF"/>
        </w:rPr>
        <w:t xml:space="preserve"> </w:t>
      </w:r>
      <w:r w:rsidRPr="008D5251">
        <w:rPr>
          <w:rFonts w:ascii="Times New Roman" w:hAnsi="Times New Roman" w:cs="Times New Roman"/>
          <w:color w:val="292929"/>
          <w:spacing w:val="3"/>
          <w:sz w:val="24"/>
          <w:szCs w:val="24"/>
          <w:shd w:val="clear" w:color="auto" w:fill="FFFFFF"/>
        </w:rPr>
        <w:t xml:space="preserve"> LTL asserts that this is</w:t>
      </w:r>
      <w:r w:rsidR="00015802" w:rsidRPr="008D5251">
        <w:rPr>
          <w:rFonts w:ascii="Times New Roman" w:hAnsi="Times New Roman" w:cs="Times New Roman"/>
          <w:color w:val="292929"/>
          <w:spacing w:val="3"/>
          <w:sz w:val="24"/>
          <w:szCs w:val="24"/>
          <w:shd w:val="clear" w:color="auto" w:fill="FFFFFF"/>
        </w:rPr>
        <w:t xml:space="preserve"> the “largest settlement ever reached in an asbestos bankruptcy case, even cases where (unlike here) the manufacturer conceded that its products contained asbestos.”</w:t>
      </w:r>
      <w:r w:rsidR="001D2A03">
        <w:rPr>
          <w:rStyle w:val="FootnoteReference"/>
          <w:rFonts w:ascii="Times New Roman" w:hAnsi="Times New Roman" w:cs="Times New Roman"/>
          <w:color w:val="292929"/>
          <w:spacing w:val="3"/>
          <w:sz w:val="24"/>
          <w:szCs w:val="24"/>
          <w:shd w:val="clear" w:color="auto" w:fill="FFFFFF"/>
        </w:rPr>
        <w:footnoteReference w:id="5"/>
      </w:r>
      <w:r w:rsidR="00015802" w:rsidRPr="008D5251">
        <w:rPr>
          <w:rFonts w:ascii="Times New Roman" w:hAnsi="Times New Roman" w:cs="Times New Roman"/>
          <w:color w:val="292929"/>
          <w:spacing w:val="3"/>
          <w:sz w:val="24"/>
          <w:szCs w:val="24"/>
          <w:shd w:val="clear" w:color="auto" w:fill="FFFFFF"/>
        </w:rPr>
        <w:t xml:space="preserve"> </w:t>
      </w:r>
      <w:r w:rsidR="001D2A03">
        <w:rPr>
          <w:rFonts w:ascii="Times New Roman" w:hAnsi="Times New Roman" w:cs="Times New Roman"/>
          <w:color w:val="292929"/>
          <w:spacing w:val="3"/>
          <w:sz w:val="24"/>
          <w:szCs w:val="24"/>
          <w:shd w:val="clear" w:color="auto" w:fill="FFFFFF"/>
        </w:rPr>
        <w:t xml:space="preserve"> </w:t>
      </w:r>
      <w:r w:rsidR="00015802" w:rsidRPr="008D5251">
        <w:rPr>
          <w:rFonts w:ascii="Times New Roman" w:hAnsi="Times New Roman" w:cs="Times New Roman"/>
          <w:color w:val="292929"/>
          <w:spacing w:val="3"/>
          <w:sz w:val="24"/>
          <w:szCs w:val="24"/>
          <w:shd w:val="clear" w:color="auto" w:fill="FFFFFF"/>
        </w:rPr>
        <w:t xml:space="preserve">LTL has </w:t>
      </w:r>
      <w:r w:rsidRPr="008D5251">
        <w:rPr>
          <w:rFonts w:ascii="Times New Roman" w:hAnsi="Times New Roman" w:cs="Times New Roman"/>
          <w:color w:val="292929"/>
          <w:spacing w:val="3"/>
          <w:sz w:val="24"/>
          <w:szCs w:val="24"/>
          <w:shd w:val="clear" w:color="auto" w:fill="FFFFFF"/>
        </w:rPr>
        <w:t xml:space="preserve">indicated </w:t>
      </w:r>
      <w:r w:rsidR="00015802" w:rsidRPr="008D5251">
        <w:rPr>
          <w:rFonts w:ascii="Times New Roman" w:hAnsi="Times New Roman" w:cs="Times New Roman"/>
          <w:color w:val="292929"/>
          <w:spacing w:val="3"/>
          <w:sz w:val="24"/>
          <w:szCs w:val="24"/>
          <w:shd w:val="clear" w:color="auto" w:fill="FFFFFF"/>
        </w:rPr>
        <w:t>that representatives for over 60,000 current talc claimants have committed to support the proposed deal.</w:t>
      </w:r>
      <w:r w:rsidR="001D2A03">
        <w:rPr>
          <w:rStyle w:val="FootnoteReference"/>
          <w:rFonts w:ascii="Times New Roman" w:hAnsi="Times New Roman" w:cs="Times New Roman"/>
          <w:color w:val="292929"/>
          <w:spacing w:val="3"/>
          <w:sz w:val="24"/>
          <w:szCs w:val="24"/>
          <w:shd w:val="clear" w:color="auto" w:fill="FFFFFF"/>
        </w:rPr>
        <w:footnoteReference w:id="6"/>
      </w:r>
    </w:p>
    <w:p w14:paraId="2B9419E0" w14:textId="713C8385" w:rsidR="009B713C" w:rsidRPr="008D5251" w:rsidRDefault="008D5251" w:rsidP="00685523">
      <w:pPr>
        <w:spacing w:after="0" w:line="480" w:lineRule="auto"/>
        <w:jc w:val="both"/>
        <w:rPr>
          <w:rFonts w:ascii="Times New Roman" w:hAnsi="Times New Roman" w:cs="Times New Roman"/>
          <w:b/>
          <w:bCs/>
          <w:sz w:val="24"/>
          <w:szCs w:val="24"/>
        </w:rPr>
      </w:pPr>
      <w:r w:rsidRPr="008D5251">
        <w:rPr>
          <w:rFonts w:ascii="Times New Roman" w:hAnsi="Times New Roman" w:cs="Times New Roman"/>
          <w:b/>
          <w:bCs/>
          <w:sz w:val="24"/>
          <w:szCs w:val="24"/>
        </w:rPr>
        <w:t>Conclusion</w:t>
      </w:r>
    </w:p>
    <w:p w14:paraId="0AA27788" w14:textId="7DA4CC66" w:rsidR="003345D2" w:rsidRDefault="008D5251" w:rsidP="008D5251">
      <w:pPr>
        <w:spacing w:after="0" w:line="480" w:lineRule="auto"/>
        <w:ind w:firstLine="720"/>
        <w:jc w:val="both"/>
        <w:rPr>
          <w:rFonts w:ascii="Times New Roman" w:hAnsi="Times New Roman" w:cs="Times New Roman"/>
          <w:sz w:val="24"/>
        </w:rPr>
      </w:pPr>
      <w:r w:rsidRPr="008D5251">
        <w:rPr>
          <w:rFonts w:ascii="Times New Roman" w:hAnsi="Times New Roman" w:cs="Times New Roman"/>
          <w:sz w:val="24"/>
        </w:rPr>
        <w:t>It remains to be seen how LTL will fare in its Chapter 22.</w:t>
      </w:r>
      <w:r w:rsidR="002074A7">
        <w:rPr>
          <w:rFonts w:ascii="Times New Roman" w:hAnsi="Times New Roman" w:cs="Times New Roman"/>
          <w:sz w:val="24"/>
        </w:rPr>
        <w:t xml:space="preserve">  Adjusting </w:t>
      </w:r>
      <w:r w:rsidR="009C285E">
        <w:rPr>
          <w:rFonts w:ascii="Times New Roman" w:hAnsi="Times New Roman" w:cs="Times New Roman"/>
          <w:sz w:val="24"/>
        </w:rPr>
        <w:t xml:space="preserve">on the fly </w:t>
      </w:r>
      <w:r w:rsidR="002074A7">
        <w:rPr>
          <w:rFonts w:ascii="Times New Roman" w:hAnsi="Times New Roman" w:cs="Times New Roman"/>
          <w:sz w:val="24"/>
        </w:rPr>
        <w:t xml:space="preserve">to the Third Circuit’s ruling, LTL terminated the Funding Agreement with </w:t>
      </w:r>
      <w:r w:rsidR="00075CDC">
        <w:rPr>
          <w:rFonts w:ascii="Times New Roman" w:hAnsi="Times New Roman" w:cs="Times New Roman"/>
          <w:sz w:val="24"/>
        </w:rPr>
        <w:t>New</w:t>
      </w:r>
      <w:r w:rsidR="002074A7">
        <w:rPr>
          <w:rFonts w:ascii="Times New Roman" w:hAnsi="Times New Roman" w:cs="Times New Roman"/>
          <w:sz w:val="24"/>
        </w:rPr>
        <w:t xml:space="preserve"> J&amp;J and the Parent Company, in essence manufacturing a better argument on the issue of financial distress.</w:t>
      </w:r>
      <w:r w:rsidR="009C285E">
        <w:rPr>
          <w:rFonts w:ascii="Times New Roman" w:hAnsi="Times New Roman" w:cs="Times New Roman"/>
          <w:sz w:val="24"/>
        </w:rPr>
        <w:t xml:space="preserve">  LTL entered into a new funding agreement</w:t>
      </w:r>
      <w:r w:rsidR="003345D2">
        <w:rPr>
          <w:rFonts w:ascii="Times New Roman" w:hAnsi="Times New Roman" w:cs="Times New Roman"/>
          <w:sz w:val="24"/>
        </w:rPr>
        <w:t xml:space="preserve"> with </w:t>
      </w:r>
      <w:r w:rsidR="00075CDC">
        <w:rPr>
          <w:rFonts w:ascii="Times New Roman" w:hAnsi="Times New Roman" w:cs="Times New Roman"/>
          <w:sz w:val="24"/>
        </w:rPr>
        <w:t>its direct parent, Johnson &amp; Johnson Holdco (NA) Inc. (“Holdco”),</w:t>
      </w:r>
      <w:r w:rsidR="003345D2">
        <w:rPr>
          <w:rFonts w:ascii="Times New Roman" w:hAnsi="Times New Roman" w:cs="Times New Roman"/>
          <w:sz w:val="24"/>
        </w:rPr>
        <w:t xml:space="preserve"> </w:t>
      </w:r>
      <w:r w:rsidR="009C285E">
        <w:rPr>
          <w:rFonts w:ascii="Times New Roman" w:hAnsi="Times New Roman" w:cs="Times New Roman"/>
          <w:sz w:val="24"/>
        </w:rPr>
        <w:t>and a support agreement</w:t>
      </w:r>
      <w:r w:rsidR="003345D2">
        <w:rPr>
          <w:rFonts w:ascii="Times New Roman" w:hAnsi="Times New Roman" w:cs="Times New Roman"/>
          <w:sz w:val="24"/>
        </w:rPr>
        <w:t xml:space="preserve"> with the Parent Company</w:t>
      </w:r>
      <w:r w:rsidR="009C285E">
        <w:rPr>
          <w:rFonts w:ascii="Times New Roman" w:hAnsi="Times New Roman" w:cs="Times New Roman"/>
          <w:sz w:val="24"/>
        </w:rPr>
        <w:t xml:space="preserve">.  </w:t>
      </w:r>
      <w:r w:rsidR="003345D2">
        <w:rPr>
          <w:rFonts w:ascii="Times New Roman" w:hAnsi="Times New Roman" w:cs="Times New Roman"/>
          <w:sz w:val="24"/>
        </w:rPr>
        <w:t>The Parent Company no longer is a party to the funding agreement, and its oblig</w:t>
      </w:r>
      <w:r w:rsidR="009C285E">
        <w:rPr>
          <w:rFonts w:ascii="Times New Roman" w:hAnsi="Times New Roman" w:cs="Times New Roman"/>
          <w:sz w:val="24"/>
        </w:rPr>
        <w:t>ations</w:t>
      </w:r>
      <w:r w:rsidR="003345D2">
        <w:rPr>
          <w:rFonts w:ascii="Times New Roman" w:hAnsi="Times New Roman" w:cs="Times New Roman"/>
          <w:sz w:val="24"/>
        </w:rPr>
        <w:t xml:space="preserve"> </w:t>
      </w:r>
      <w:r w:rsidR="009C285E">
        <w:rPr>
          <w:rFonts w:ascii="Times New Roman" w:hAnsi="Times New Roman" w:cs="Times New Roman"/>
          <w:sz w:val="24"/>
        </w:rPr>
        <w:t xml:space="preserve">are </w:t>
      </w:r>
      <w:r w:rsidR="003345D2">
        <w:rPr>
          <w:rFonts w:ascii="Times New Roman" w:hAnsi="Times New Roman" w:cs="Times New Roman"/>
          <w:sz w:val="24"/>
        </w:rPr>
        <w:t xml:space="preserve">available only in bankruptcy and are </w:t>
      </w:r>
      <w:r w:rsidR="009C285E">
        <w:rPr>
          <w:rFonts w:ascii="Times New Roman" w:hAnsi="Times New Roman" w:cs="Times New Roman"/>
          <w:sz w:val="24"/>
        </w:rPr>
        <w:t>subject to bankruptcy court approval</w:t>
      </w:r>
      <w:r w:rsidR="003345D2">
        <w:rPr>
          <w:rFonts w:ascii="Times New Roman" w:hAnsi="Times New Roman" w:cs="Times New Roman"/>
          <w:sz w:val="24"/>
        </w:rPr>
        <w:t xml:space="preserve">.  </w:t>
      </w:r>
      <w:r w:rsidR="00075CDC">
        <w:rPr>
          <w:rFonts w:ascii="Times New Roman" w:hAnsi="Times New Roman" w:cs="Times New Roman"/>
          <w:sz w:val="24"/>
        </w:rPr>
        <w:t>Holdco</w:t>
      </w:r>
      <w:r w:rsidR="009C285E">
        <w:rPr>
          <w:rFonts w:ascii="Times New Roman" w:hAnsi="Times New Roman" w:cs="Times New Roman"/>
          <w:sz w:val="24"/>
        </w:rPr>
        <w:t xml:space="preserve"> is the sole obligor under the new funding agreement.  </w:t>
      </w:r>
    </w:p>
    <w:p w14:paraId="1ABA4E08" w14:textId="2065C7F8" w:rsidR="008D5251" w:rsidRDefault="009C285E" w:rsidP="001D2A03">
      <w:pPr>
        <w:spacing w:after="0" w:line="480" w:lineRule="auto"/>
        <w:ind w:firstLine="720"/>
        <w:jc w:val="both"/>
      </w:pPr>
      <w:r>
        <w:rPr>
          <w:rFonts w:ascii="Times New Roman" w:hAnsi="Times New Roman" w:cs="Times New Roman"/>
          <w:sz w:val="24"/>
        </w:rPr>
        <w:t>These maneuvers, coupled with t</w:t>
      </w:r>
      <w:r w:rsidR="008D5251">
        <w:rPr>
          <w:rFonts w:ascii="Times New Roman" w:hAnsi="Times New Roman" w:cs="Times New Roman"/>
          <w:sz w:val="24"/>
        </w:rPr>
        <w:t xml:space="preserve">he fact that </w:t>
      </w:r>
      <w:r>
        <w:rPr>
          <w:rFonts w:ascii="Times New Roman" w:hAnsi="Times New Roman" w:cs="Times New Roman"/>
          <w:sz w:val="24"/>
        </w:rPr>
        <w:t xml:space="preserve">LTL’s </w:t>
      </w:r>
      <w:r w:rsidR="008D5251">
        <w:rPr>
          <w:rFonts w:ascii="Times New Roman" w:hAnsi="Times New Roman" w:cs="Times New Roman"/>
          <w:sz w:val="24"/>
        </w:rPr>
        <w:t>proposed settlement enjoys the support of so many talc claimants</w:t>
      </w:r>
      <w:r>
        <w:rPr>
          <w:rFonts w:ascii="Times New Roman" w:hAnsi="Times New Roman" w:cs="Times New Roman"/>
          <w:sz w:val="24"/>
        </w:rPr>
        <w:t xml:space="preserve">, may lead to a different result in </w:t>
      </w:r>
      <w:r w:rsidR="00FD65EF">
        <w:rPr>
          <w:rFonts w:ascii="Times New Roman" w:hAnsi="Times New Roman" w:cs="Times New Roman"/>
          <w:sz w:val="24"/>
        </w:rPr>
        <w:t>the</w:t>
      </w:r>
      <w:r w:rsidR="003345D2">
        <w:rPr>
          <w:rFonts w:ascii="Times New Roman" w:hAnsi="Times New Roman" w:cs="Times New Roman"/>
          <w:sz w:val="24"/>
        </w:rPr>
        <w:t xml:space="preserve"> </w:t>
      </w:r>
      <w:r>
        <w:rPr>
          <w:rFonts w:ascii="Times New Roman" w:hAnsi="Times New Roman" w:cs="Times New Roman"/>
          <w:sz w:val="24"/>
        </w:rPr>
        <w:t>second case.</w:t>
      </w:r>
      <w:r w:rsidR="003345D2">
        <w:rPr>
          <w:rFonts w:ascii="Times New Roman" w:hAnsi="Times New Roman" w:cs="Times New Roman"/>
          <w:sz w:val="24"/>
        </w:rPr>
        <w:t xml:space="preserve">  However, LTL’s approach</w:t>
      </w:r>
      <w:r w:rsidR="00FD65EF">
        <w:rPr>
          <w:rFonts w:ascii="Times New Roman" w:hAnsi="Times New Roman" w:cs="Times New Roman"/>
          <w:sz w:val="24"/>
        </w:rPr>
        <w:t xml:space="preserve"> – </w:t>
      </w:r>
      <w:r w:rsidR="003345D2">
        <w:rPr>
          <w:rFonts w:ascii="Times New Roman" w:hAnsi="Times New Roman" w:cs="Times New Roman"/>
          <w:sz w:val="24"/>
        </w:rPr>
        <w:t xml:space="preserve">which appears to be a combination of papering over the financial strength of the Parent Company while </w:t>
      </w:r>
      <w:r w:rsidR="00FD65EF">
        <w:rPr>
          <w:rFonts w:ascii="Times New Roman" w:hAnsi="Times New Roman" w:cs="Times New Roman"/>
          <w:sz w:val="24"/>
        </w:rPr>
        <w:t xml:space="preserve">substantially increasing </w:t>
      </w:r>
      <w:r w:rsidR="003345D2">
        <w:rPr>
          <w:rFonts w:ascii="Times New Roman" w:hAnsi="Times New Roman" w:cs="Times New Roman"/>
          <w:sz w:val="24"/>
        </w:rPr>
        <w:t>the funds to be included in a settlement trust</w:t>
      </w:r>
      <w:r w:rsidR="00FD65EF">
        <w:rPr>
          <w:rFonts w:ascii="Times New Roman" w:hAnsi="Times New Roman" w:cs="Times New Roman"/>
          <w:sz w:val="24"/>
        </w:rPr>
        <w:t xml:space="preserve"> – </w:t>
      </w:r>
      <w:r w:rsidR="003345D2">
        <w:rPr>
          <w:rFonts w:ascii="Times New Roman" w:hAnsi="Times New Roman" w:cs="Times New Roman"/>
          <w:sz w:val="24"/>
        </w:rPr>
        <w:t>may not be sufficient to address the Third Circuit’s</w:t>
      </w:r>
      <w:r w:rsidR="00FD65EF">
        <w:rPr>
          <w:rFonts w:ascii="Times New Roman" w:hAnsi="Times New Roman" w:cs="Times New Roman"/>
          <w:sz w:val="24"/>
        </w:rPr>
        <w:t xml:space="preserve"> concern </w:t>
      </w:r>
      <w:r w:rsidR="003345D2" w:rsidRPr="004B2F29">
        <w:rPr>
          <w:rFonts w:ascii="Times New Roman" w:hAnsi="Times New Roman" w:cs="Times New Roman"/>
          <w:sz w:val="24"/>
          <w:szCs w:val="24"/>
        </w:rPr>
        <w:t xml:space="preserve">that </w:t>
      </w:r>
      <w:r w:rsidR="00FD65EF">
        <w:rPr>
          <w:rFonts w:ascii="Times New Roman" w:hAnsi="Times New Roman" w:cs="Times New Roman"/>
          <w:sz w:val="24"/>
          <w:szCs w:val="24"/>
        </w:rPr>
        <w:t>the talc “</w:t>
      </w:r>
      <w:r w:rsidR="003345D2" w:rsidRPr="004B2F29">
        <w:rPr>
          <w:rFonts w:ascii="Times New Roman" w:hAnsi="Times New Roman" w:cs="Times New Roman"/>
          <w:sz w:val="24"/>
          <w:szCs w:val="24"/>
        </w:rPr>
        <w:t>claimants' pre-bankruptcy remedies—here, the chance to prove to a jury of their peers injuries claimed to be caused by a consumer product—are disrupted only when necessary</w:t>
      </w:r>
      <w:r w:rsidR="00FD65EF">
        <w:rPr>
          <w:rFonts w:ascii="Times New Roman" w:hAnsi="Times New Roman" w:cs="Times New Roman"/>
          <w:sz w:val="24"/>
          <w:szCs w:val="24"/>
        </w:rPr>
        <w:t>.”</w:t>
      </w:r>
      <w:r>
        <w:rPr>
          <w:rFonts w:ascii="Times New Roman" w:hAnsi="Times New Roman" w:cs="Times New Roman"/>
          <w:sz w:val="24"/>
        </w:rPr>
        <w:t xml:space="preserve">  </w:t>
      </w:r>
      <w:r w:rsidR="008D5251">
        <w:rPr>
          <w:rFonts w:ascii="Times New Roman" w:hAnsi="Times New Roman" w:cs="Times New Roman"/>
          <w:sz w:val="24"/>
        </w:rPr>
        <w:t xml:space="preserve"> </w:t>
      </w:r>
    </w:p>
    <w:sectPr w:rsidR="008D5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4BA7" w14:textId="77777777" w:rsidR="00A866D6" w:rsidRDefault="00A866D6" w:rsidP="00A866D6">
      <w:pPr>
        <w:spacing w:after="0" w:line="240" w:lineRule="auto"/>
      </w:pPr>
      <w:r>
        <w:separator/>
      </w:r>
    </w:p>
  </w:endnote>
  <w:endnote w:type="continuationSeparator" w:id="0">
    <w:p w14:paraId="0FA33E18" w14:textId="77777777" w:rsidR="00A866D6" w:rsidRDefault="00A866D6" w:rsidP="00A8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8A44" w14:textId="77777777" w:rsidR="00A866D6" w:rsidRDefault="00A866D6" w:rsidP="00A866D6">
      <w:pPr>
        <w:spacing w:after="0" w:line="240" w:lineRule="auto"/>
      </w:pPr>
      <w:r>
        <w:separator/>
      </w:r>
    </w:p>
  </w:footnote>
  <w:footnote w:type="continuationSeparator" w:id="0">
    <w:p w14:paraId="5C554015" w14:textId="77777777" w:rsidR="00A866D6" w:rsidRDefault="00A866D6" w:rsidP="00A866D6">
      <w:pPr>
        <w:spacing w:after="0" w:line="240" w:lineRule="auto"/>
      </w:pPr>
      <w:r>
        <w:continuationSeparator/>
      </w:r>
    </w:p>
  </w:footnote>
  <w:footnote w:id="1">
    <w:p w14:paraId="499CBD31" w14:textId="1C67E20C" w:rsidR="008E5B54" w:rsidRPr="008E5B54" w:rsidRDefault="008E5B54">
      <w:pPr>
        <w:pStyle w:val="FootnoteText"/>
        <w:rPr>
          <w:rFonts w:ascii="Times New Roman" w:hAnsi="Times New Roman" w:cs="Times New Roman"/>
        </w:rPr>
      </w:pPr>
      <w:r>
        <w:rPr>
          <w:rStyle w:val="FootnoteReference"/>
        </w:rPr>
        <w:footnoteRef/>
      </w:r>
      <w:r>
        <w:t xml:space="preserve"> </w:t>
      </w:r>
      <w:r w:rsidRPr="008E5B54">
        <w:rPr>
          <w:rFonts w:ascii="Times New Roman" w:hAnsi="Times New Roman" w:cs="Times New Roman"/>
        </w:rPr>
        <w:t>The statute clarifies that the merger does not effect any transfers between the old entity and the new entity, presumably to eliminate the risk that the divisional merger constitutes a fraudulent transfer.</w:t>
      </w:r>
    </w:p>
  </w:footnote>
  <w:footnote w:id="2">
    <w:p w14:paraId="11756784" w14:textId="16CFFE21" w:rsidR="00AE663E" w:rsidRPr="00AE663E" w:rsidRDefault="00AE663E" w:rsidP="00AE663E">
      <w:pPr>
        <w:spacing w:after="0" w:line="240" w:lineRule="auto"/>
        <w:jc w:val="both"/>
        <w:rPr>
          <w:rFonts w:ascii="Times New Roman" w:hAnsi="Times New Roman" w:cs="Times New Roman"/>
          <w:sz w:val="20"/>
          <w:szCs w:val="20"/>
        </w:rPr>
      </w:pPr>
      <w:r>
        <w:rPr>
          <w:rStyle w:val="FootnoteReference"/>
        </w:rPr>
        <w:footnoteRef/>
      </w:r>
      <w:r>
        <w:t xml:space="preserve"> </w:t>
      </w:r>
      <w:r w:rsidRPr="00AE663E">
        <w:rPr>
          <w:rFonts w:ascii="Times New Roman" w:hAnsi="Times New Roman" w:cs="Times New Roman"/>
          <w:color w:val="202124"/>
          <w:sz w:val="20"/>
          <w:szCs w:val="20"/>
        </w:rPr>
        <w:t xml:space="preserve">Notably, similar maneuvering in other cases led to the </w:t>
      </w:r>
      <w:r w:rsidRPr="00AE663E">
        <w:rPr>
          <w:rFonts w:ascii="Times New Roman" w:hAnsi="Times New Roman" w:cs="Times New Roman"/>
          <w:sz w:val="20"/>
          <w:szCs w:val="20"/>
        </w:rPr>
        <w:t xml:space="preserve">Bankruptcy Venue Reform Act of 2021 (H.R. 4193) (bill introduced in the House on June 28, 2021 (with similar related bill (S. 2827) introduced in Senate on September 23, 2021); among other things, would amend 28 U.S.C. § 1408 to require any corporate debtor to file its bankruptcy case in (a) venue in which debtor’s principal place of business or principal assets have been located for the 180 days immediately preceding the petition date (or longer portion of such 180-day period than they have been located elsewhere) or (b) district in which bankruptcy case concerning debtor’s affiliate is pending, but only if affiliate directly or indirectly owns, control, or holds at least 50% of outstanding voting securities of, or is general partner of, later-filing debtor, and only if affiliate’s pending case was properly filed in that district.  The legislation died in committee, but was reintroduced by </w:t>
      </w:r>
      <w:r w:rsidRPr="00AE663E">
        <w:rPr>
          <w:rFonts w:ascii="Times New Roman" w:hAnsi="Times New Roman" w:cs="Times New Roman"/>
          <w:color w:val="373739"/>
          <w:sz w:val="20"/>
          <w:szCs w:val="20"/>
          <w:shd w:val="clear" w:color="auto" w:fill="FFFFFF"/>
        </w:rPr>
        <w:t>Reps. Zoe Lofgren, D-Calif., and Ken Buck, R-Colo.in February 2023.</w:t>
      </w:r>
    </w:p>
    <w:p w14:paraId="315EECD8" w14:textId="6010F364" w:rsidR="00AE663E" w:rsidRPr="00AE663E" w:rsidRDefault="00AE663E">
      <w:pPr>
        <w:pStyle w:val="FootnoteText"/>
        <w:rPr>
          <w:rFonts w:ascii="Times New Roman" w:hAnsi="Times New Roman" w:cs="Times New Roman"/>
        </w:rPr>
      </w:pPr>
    </w:p>
  </w:footnote>
  <w:footnote w:id="3">
    <w:p w14:paraId="0F7112BE" w14:textId="77777777" w:rsidR="008D5251" w:rsidRPr="00015802" w:rsidRDefault="008D5251" w:rsidP="008D5251">
      <w:pPr>
        <w:spacing w:after="0" w:line="240" w:lineRule="auto"/>
        <w:jc w:val="both"/>
        <w:rPr>
          <w:rFonts w:ascii="Times New Roman" w:hAnsi="Times New Roman" w:cs="Times New Roman"/>
          <w:sz w:val="24"/>
          <w:szCs w:val="24"/>
        </w:rPr>
      </w:pPr>
      <w:r>
        <w:rPr>
          <w:rStyle w:val="FootnoteReference"/>
        </w:rPr>
        <w:footnoteRef/>
      </w:r>
      <w:r>
        <w:t xml:space="preserve"> </w:t>
      </w:r>
      <w:r w:rsidRPr="008D5251">
        <w:rPr>
          <w:rFonts w:ascii="Times New Roman" w:hAnsi="Times New Roman" w:cs="Times New Roman"/>
          <w:sz w:val="20"/>
          <w:szCs w:val="20"/>
        </w:rPr>
        <w:t xml:space="preserve">Like the venue shopping issue, the divisional merger issue and issues related to nonconsensual third party releases attracted the attention of Congress.  The </w:t>
      </w:r>
      <w:proofErr w:type="spellStart"/>
      <w:r w:rsidRPr="008D5251">
        <w:rPr>
          <w:rFonts w:ascii="Times New Roman" w:hAnsi="Times New Roman" w:cs="Times New Roman"/>
          <w:sz w:val="20"/>
          <w:szCs w:val="20"/>
        </w:rPr>
        <w:t>Nondebtor</w:t>
      </w:r>
      <w:proofErr w:type="spellEnd"/>
      <w:r w:rsidRPr="008D5251">
        <w:rPr>
          <w:rFonts w:ascii="Times New Roman" w:hAnsi="Times New Roman" w:cs="Times New Roman"/>
          <w:sz w:val="20"/>
          <w:szCs w:val="20"/>
        </w:rPr>
        <w:t xml:space="preserve"> Release Prohibition Act of 2021 (H.R. 4777/S. 2497) (bill introduced on July 28, 2021; would amend 11 U.S.C. § 1112 to require dismissal of any chapter 11 case in which debtor or its predecessor was involved in divisional merger or equivalent transaction that occurred within 10-year period preceding bankruptcy filing and “had the intent or foreseeable effect of . . . [s]</w:t>
      </w:r>
      <w:proofErr w:type="spellStart"/>
      <w:r w:rsidRPr="008D5251">
        <w:rPr>
          <w:rFonts w:ascii="Times New Roman" w:hAnsi="Times New Roman" w:cs="Times New Roman"/>
          <w:sz w:val="20"/>
          <w:szCs w:val="20"/>
        </w:rPr>
        <w:t>eparating</w:t>
      </w:r>
      <w:proofErr w:type="spellEnd"/>
      <w:r w:rsidRPr="008D5251">
        <w:rPr>
          <w:rFonts w:ascii="Times New Roman" w:hAnsi="Times New Roman" w:cs="Times New Roman"/>
          <w:sz w:val="20"/>
          <w:szCs w:val="20"/>
        </w:rPr>
        <w:t xml:space="preserve"> material assets from material liabilities of an entity eligible to be a debtor under [chapter 11]; and assigning or allocating all or a substantial portion of those liabilities to the debtor, or the debtor assuming or retaining all or substantial portion of those liabilities”).</w:t>
      </w:r>
    </w:p>
    <w:p w14:paraId="5C490933" w14:textId="7FE8ABEE" w:rsidR="008D5251" w:rsidRDefault="008D5251">
      <w:pPr>
        <w:pStyle w:val="FootnoteText"/>
      </w:pPr>
    </w:p>
  </w:footnote>
  <w:footnote w:id="4">
    <w:p w14:paraId="32ED75F3" w14:textId="15165CEA" w:rsidR="001D2A03" w:rsidRPr="001D2A03" w:rsidRDefault="001D2A03" w:rsidP="001D2A03">
      <w:pPr>
        <w:pStyle w:val="FootnoteText"/>
        <w:rPr>
          <w:rFonts w:ascii="Times New Roman" w:hAnsi="Times New Roman" w:cs="Times New Roman"/>
        </w:rPr>
      </w:pPr>
      <w:r>
        <w:rPr>
          <w:rStyle w:val="FootnoteReference"/>
        </w:rPr>
        <w:footnoteRef/>
      </w:r>
      <w:r>
        <w:t xml:space="preserve"> </w:t>
      </w:r>
      <w:r w:rsidRPr="001D2A03">
        <w:rPr>
          <w:rFonts w:ascii="Times New Roman" w:hAnsi="Times New Roman" w:cs="Times New Roman"/>
        </w:rPr>
        <w:t>De</w:t>
      </w:r>
      <w:r w:rsidRPr="001D2A03">
        <w:rPr>
          <w:rFonts w:ascii="Times New Roman" w:hAnsi="Times New Roman" w:cs="Times New Roman"/>
        </w:rPr>
        <w:t>btor’s Statement Regarding Refiling of Bankruptcy Case</w:t>
      </w:r>
      <w:r w:rsidRPr="001D2A03">
        <w:rPr>
          <w:rFonts w:ascii="Times New Roman" w:hAnsi="Times New Roman" w:cs="Times New Roman"/>
        </w:rPr>
        <w:t xml:space="preserve"> (Docket No. </w:t>
      </w:r>
      <w:r w:rsidRPr="001D2A03">
        <w:rPr>
          <w:rFonts w:ascii="Times New Roman" w:hAnsi="Times New Roman" w:cs="Times New Roman"/>
        </w:rPr>
        <w:t>3</w:t>
      </w:r>
      <w:r w:rsidRPr="001D2A03">
        <w:rPr>
          <w:rFonts w:ascii="Times New Roman" w:hAnsi="Times New Roman" w:cs="Times New Roman"/>
        </w:rPr>
        <w:t xml:space="preserve">), </w:t>
      </w:r>
      <w:r w:rsidRPr="001D2A03">
        <w:rPr>
          <w:rFonts w:ascii="Times New Roman" w:hAnsi="Times New Roman" w:cs="Times New Roman"/>
          <w:i/>
          <w:iCs/>
        </w:rPr>
        <w:t>In re LTL Management LLC</w:t>
      </w:r>
      <w:r w:rsidRPr="001D2A03">
        <w:rPr>
          <w:rFonts w:ascii="Times New Roman" w:hAnsi="Times New Roman" w:cs="Times New Roman"/>
        </w:rPr>
        <w:t>, Case Number 23-12825-MBK (</w:t>
      </w:r>
      <w:proofErr w:type="spellStart"/>
      <w:r w:rsidRPr="001D2A03">
        <w:rPr>
          <w:rFonts w:ascii="Times New Roman" w:hAnsi="Times New Roman" w:cs="Times New Roman"/>
        </w:rPr>
        <w:t>Bankr</w:t>
      </w:r>
      <w:proofErr w:type="spellEnd"/>
      <w:r w:rsidRPr="001D2A03">
        <w:rPr>
          <w:rFonts w:ascii="Times New Roman" w:hAnsi="Times New Roman" w:cs="Times New Roman"/>
        </w:rPr>
        <w:t>. D.N.J. Apr. 4, 2023) at ¶¶ 8, 74.</w:t>
      </w:r>
    </w:p>
  </w:footnote>
  <w:footnote w:id="5">
    <w:p w14:paraId="5862EFD4" w14:textId="75D1ED6C" w:rsidR="001D2A03" w:rsidRPr="001D2A03" w:rsidRDefault="001D2A03">
      <w:pPr>
        <w:pStyle w:val="FootnoteText"/>
        <w:rPr>
          <w:rFonts w:ascii="Times New Roman" w:hAnsi="Times New Roman" w:cs="Times New Roman"/>
        </w:rPr>
      </w:pPr>
      <w:r w:rsidRPr="001D2A03">
        <w:rPr>
          <w:rStyle w:val="FootnoteReference"/>
          <w:rFonts w:ascii="Times New Roman" w:hAnsi="Times New Roman" w:cs="Times New Roman"/>
        </w:rPr>
        <w:footnoteRef/>
      </w:r>
      <w:r w:rsidRPr="001D2A03">
        <w:rPr>
          <w:rFonts w:ascii="Times New Roman" w:hAnsi="Times New Roman" w:cs="Times New Roman"/>
        </w:rPr>
        <w:t xml:space="preserve"> Id.</w:t>
      </w:r>
    </w:p>
  </w:footnote>
  <w:footnote w:id="6">
    <w:p w14:paraId="394D880B" w14:textId="58B45303" w:rsidR="001D2A03" w:rsidRPr="001D2A03" w:rsidRDefault="001D2A03">
      <w:pPr>
        <w:pStyle w:val="FootnoteText"/>
        <w:rPr>
          <w:rFonts w:ascii="Times New Roman" w:hAnsi="Times New Roman" w:cs="Times New Roman"/>
        </w:rPr>
      </w:pPr>
      <w:r w:rsidRPr="001D2A03">
        <w:rPr>
          <w:rStyle w:val="FootnoteReference"/>
          <w:rFonts w:ascii="Times New Roman" w:hAnsi="Times New Roman" w:cs="Times New Roman"/>
        </w:rPr>
        <w:footnoteRef/>
      </w:r>
      <w:r w:rsidRPr="001D2A03">
        <w:rPr>
          <w:rFonts w:ascii="Times New Roman" w:hAnsi="Times New Roman" w:cs="Times New Roman"/>
        </w:rPr>
        <w:t xml:space="preserve"> 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22"/>
    <w:rsid w:val="00011222"/>
    <w:rsid w:val="00015802"/>
    <w:rsid w:val="00025390"/>
    <w:rsid w:val="000749B3"/>
    <w:rsid w:val="00075052"/>
    <w:rsid w:val="00075CDC"/>
    <w:rsid w:val="0009093C"/>
    <w:rsid w:val="0016210A"/>
    <w:rsid w:val="001648CD"/>
    <w:rsid w:val="001D2A03"/>
    <w:rsid w:val="002074A7"/>
    <w:rsid w:val="00223400"/>
    <w:rsid w:val="00242274"/>
    <w:rsid w:val="002C4E90"/>
    <w:rsid w:val="002F238C"/>
    <w:rsid w:val="003224DE"/>
    <w:rsid w:val="003268E9"/>
    <w:rsid w:val="003345D2"/>
    <w:rsid w:val="00351050"/>
    <w:rsid w:val="00361512"/>
    <w:rsid w:val="00396B77"/>
    <w:rsid w:val="003B5768"/>
    <w:rsid w:val="003D54C0"/>
    <w:rsid w:val="0042509E"/>
    <w:rsid w:val="00445AFE"/>
    <w:rsid w:val="00453A17"/>
    <w:rsid w:val="00476D79"/>
    <w:rsid w:val="00497CAC"/>
    <w:rsid w:val="004B2F29"/>
    <w:rsid w:val="004E758E"/>
    <w:rsid w:val="00526CEB"/>
    <w:rsid w:val="00572EE5"/>
    <w:rsid w:val="00574BFD"/>
    <w:rsid w:val="005777E9"/>
    <w:rsid w:val="005B761D"/>
    <w:rsid w:val="005D6781"/>
    <w:rsid w:val="005E491A"/>
    <w:rsid w:val="00640D40"/>
    <w:rsid w:val="00664749"/>
    <w:rsid w:val="00685523"/>
    <w:rsid w:val="006C4F87"/>
    <w:rsid w:val="006D656B"/>
    <w:rsid w:val="006E7505"/>
    <w:rsid w:val="007143BC"/>
    <w:rsid w:val="007203ED"/>
    <w:rsid w:val="00720C67"/>
    <w:rsid w:val="0073310F"/>
    <w:rsid w:val="00742225"/>
    <w:rsid w:val="007460C3"/>
    <w:rsid w:val="007634D2"/>
    <w:rsid w:val="00766666"/>
    <w:rsid w:val="007E3C36"/>
    <w:rsid w:val="007F27BA"/>
    <w:rsid w:val="00830118"/>
    <w:rsid w:val="00843DFA"/>
    <w:rsid w:val="008972F1"/>
    <w:rsid w:val="008A455D"/>
    <w:rsid w:val="008D5251"/>
    <w:rsid w:val="008D5EB2"/>
    <w:rsid w:val="008E5B54"/>
    <w:rsid w:val="00945D51"/>
    <w:rsid w:val="00952218"/>
    <w:rsid w:val="00981CA0"/>
    <w:rsid w:val="00986455"/>
    <w:rsid w:val="009A749D"/>
    <w:rsid w:val="009B2178"/>
    <w:rsid w:val="009B6BF7"/>
    <w:rsid w:val="009B713C"/>
    <w:rsid w:val="009C285E"/>
    <w:rsid w:val="00A45FCB"/>
    <w:rsid w:val="00A532EE"/>
    <w:rsid w:val="00A866D6"/>
    <w:rsid w:val="00AA7B69"/>
    <w:rsid w:val="00AE663E"/>
    <w:rsid w:val="00BD2101"/>
    <w:rsid w:val="00C37D76"/>
    <w:rsid w:val="00C63AC0"/>
    <w:rsid w:val="00C67D21"/>
    <w:rsid w:val="00CC7016"/>
    <w:rsid w:val="00CF2540"/>
    <w:rsid w:val="00CF5913"/>
    <w:rsid w:val="00D97BB1"/>
    <w:rsid w:val="00DB0107"/>
    <w:rsid w:val="00DD7B47"/>
    <w:rsid w:val="00DE0C35"/>
    <w:rsid w:val="00DF6983"/>
    <w:rsid w:val="00E1197A"/>
    <w:rsid w:val="00E27749"/>
    <w:rsid w:val="00E5293E"/>
    <w:rsid w:val="00E85EEA"/>
    <w:rsid w:val="00E9634A"/>
    <w:rsid w:val="00EC5673"/>
    <w:rsid w:val="00EC578D"/>
    <w:rsid w:val="00ED4713"/>
    <w:rsid w:val="00F569AC"/>
    <w:rsid w:val="00FD65EF"/>
    <w:rsid w:val="00FE4648"/>
    <w:rsid w:val="00FE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5995"/>
  <w15:chartTrackingRefBased/>
  <w15:docId w15:val="{3FF2E4EA-E2F9-4749-BEF7-7DD4E9B2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6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6D6"/>
    <w:rPr>
      <w:sz w:val="20"/>
      <w:szCs w:val="20"/>
    </w:rPr>
  </w:style>
  <w:style w:type="character" w:styleId="FootnoteReference">
    <w:name w:val="footnote reference"/>
    <w:basedOn w:val="DefaultParagraphFont"/>
    <w:uiPriority w:val="99"/>
    <w:semiHidden/>
    <w:unhideWhenUsed/>
    <w:rsid w:val="00A866D6"/>
    <w:rPr>
      <w:vertAlign w:val="superscript"/>
    </w:rPr>
  </w:style>
  <w:style w:type="character" w:styleId="Hyperlink">
    <w:name w:val="Hyperlink"/>
    <w:basedOn w:val="DefaultParagraphFont"/>
    <w:uiPriority w:val="99"/>
    <w:unhideWhenUsed/>
    <w:rsid w:val="00A866D6"/>
    <w:rPr>
      <w:color w:val="0563C1" w:themeColor="hyperlink"/>
      <w:u w:val="single"/>
    </w:rPr>
  </w:style>
  <w:style w:type="character" w:styleId="UnresolvedMention">
    <w:name w:val="Unresolved Mention"/>
    <w:basedOn w:val="DefaultParagraphFont"/>
    <w:uiPriority w:val="99"/>
    <w:semiHidden/>
    <w:unhideWhenUsed/>
    <w:rsid w:val="00A866D6"/>
    <w:rPr>
      <w:color w:val="605E5C"/>
      <w:shd w:val="clear" w:color="auto" w:fill="E1DFDD"/>
    </w:rPr>
  </w:style>
  <w:style w:type="paragraph" w:styleId="EndnoteText">
    <w:name w:val="endnote text"/>
    <w:basedOn w:val="Normal"/>
    <w:link w:val="EndnoteTextChar"/>
    <w:uiPriority w:val="99"/>
    <w:semiHidden/>
    <w:unhideWhenUsed/>
    <w:rsid w:val="00A866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66D6"/>
    <w:rPr>
      <w:sz w:val="20"/>
      <w:szCs w:val="20"/>
    </w:rPr>
  </w:style>
  <w:style w:type="character" w:styleId="EndnoteReference">
    <w:name w:val="endnote reference"/>
    <w:basedOn w:val="DefaultParagraphFont"/>
    <w:uiPriority w:val="99"/>
    <w:semiHidden/>
    <w:unhideWhenUsed/>
    <w:rsid w:val="00A866D6"/>
    <w:rPr>
      <w:vertAlign w:val="superscript"/>
    </w:rPr>
  </w:style>
  <w:style w:type="paragraph" w:styleId="Header">
    <w:name w:val="header"/>
    <w:basedOn w:val="Normal"/>
    <w:link w:val="HeaderChar"/>
    <w:uiPriority w:val="99"/>
    <w:unhideWhenUsed/>
    <w:rsid w:val="0057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E9"/>
  </w:style>
  <w:style w:type="paragraph" w:styleId="Footer">
    <w:name w:val="footer"/>
    <w:basedOn w:val="Normal"/>
    <w:link w:val="FooterChar"/>
    <w:uiPriority w:val="99"/>
    <w:unhideWhenUsed/>
    <w:rsid w:val="0057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E9"/>
  </w:style>
  <w:style w:type="character" w:styleId="Emphasis">
    <w:name w:val="Emphasis"/>
    <w:basedOn w:val="DefaultParagraphFont"/>
    <w:uiPriority w:val="20"/>
    <w:qFormat/>
    <w:rsid w:val="00396B77"/>
    <w:rPr>
      <w:i/>
      <w:iCs/>
    </w:rPr>
  </w:style>
  <w:style w:type="paragraph" w:styleId="Revision">
    <w:name w:val="Revision"/>
    <w:hidden/>
    <w:uiPriority w:val="99"/>
    <w:semiHidden/>
    <w:rsid w:val="00526CEB"/>
    <w:pPr>
      <w:spacing w:after="0" w:line="240" w:lineRule="auto"/>
    </w:pPr>
  </w:style>
  <w:style w:type="character" w:styleId="CommentReference">
    <w:name w:val="annotation reference"/>
    <w:basedOn w:val="DefaultParagraphFont"/>
    <w:uiPriority w:val="99"/>
    <w:semiHidden/>
    <w:unhideWhenUsed/>
    <w:rsid w:val="00445AFE"/>
    <w:rPr>
      <w:sz w:val="16"/>
      <w:szCs w:val="16"/>
    </w:rPr>
  </w:style>
  <w:style w:type="paragraph" w:styleId="CommentText">
    <w:name w:val="annotation text"/>
    <w:basedOn w:val="Normal"/>
    <w:link w:val="CommentTextChar"/>
    <w:uiPriority w:val="99"/>
    <w:semiHidden/>
    <w:unhideWhenUsed/>
    <w:rsid w:val="00445AFE"/>
    <w:pPr>
      <w:spacing w:line="240" w:lineRule="auto"/>
    </w:pPr>
    <w:rPr>
      <w:sz w:val="20"/>
      <w:szCs w:val="20"/>
    </w:rPr>
  </w:style>
  <w:style w:type="character" w:customStyle="1" w:styleId="CommentTextChar">
    <w:name w:val="Comment Text Char"/>
    <w:basedOn w:val="DefaultParagraphFont"/>
    <w:link w:val="CommentText"/>
    <w:uiPriority w:val="99"/>
    <w:semiHidden/>
    <w:rsid w:val="00445AFE"/>
    <w:rPr>
      <w:sz w:val="20"/>
      <w:szCs w:val="20"/>
    </w:rPr>
  </w:style>
  <w:style w:type="paragraph" w:styleId="CommentSubject">
    <w:name w:val="annotation subject"/>
    <w:basedOn w:val="CommentText"/>
    <w:next w:val="CommentText"/>
    <w:link w:val="CommentSubjectChar"/>
    <w:uiPriority w:val="99"/>
    <w:semiHidden/>
    <w:unhideWhenUsed/>
    <w:rsid w:val="00445AFE"/>
    <w:rPr>
      <w:b/>
      <w:bCs/>
    </w:rPr>
  </w:style>
  <w:style w:type="character" w:customStyle="1" w:styleId="CommentSubjectChar">
    <w:name w:val="Comment Subject Char"/>
    <w:basedOn w:val="CommentTextChar"/>
    <w:link w:val="CommentSubject"/>
    <w:uiPriority w:val="99"/>
    <w:semiHidden/>
    <w:rsid w:val="00445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34905">
      <w:bodyDiv w:val="1"/>
      <w:marLeft w:val="0"/>
      <w:marRight w:val="0"/>
      <w:marTop w:val="0"/>
      <w:marBottom w:val="0"/>
      <w:divBdr>
        <w:top w:val="none" w:sz="0" w:space="0" w:color="auto"/>
        <w:left w:val="none" w:sz="0" w:space="0" w:color="auto"/>
        <w:bottom w:val="none" w:sz="0" w:space="0" w:color="auto"/>
        <w:right w:val="none" w:sz="0" w:space="0" w:color="auto"/>
      </w:divBdr>
    </w:div>
    <w:div w:id="20826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B5BD-0599-4851-A8BC-F1AF27B6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Hawkins</dc:creator>
  <cp:keywords/>
  <dc:description/>
  <cp:lastModifiedBy>Christopher Hawkins</cp:lastModifiedBy>
  <cp:revision>7</cp:revision>
  <dcterms:created xsi:type="dcterms:W3CDTF">2023-04-28T17:47:00Z</dcterms:created>
  <dcterms:modified xsi:type="dcterms:W3CDTF">2023-04-28T18:51:00Z</dcterms:modified>
</cp:coreProperties>
</file>